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3"/>
        <w:spacing w:before="100" w:beforeAutospacing="1" w:after="100" w:afterAutospacing="1"/>
        <w:jc w:val="center"/>
        <w:rPr>
          <w:rFonts w:ascii="宋体" w:hAnsi="宋体"/>
          <w:sz w:val="24"/>
        </w:rPr>
      </w:pPr>
      <w:r>
        <w:rPr>
          <w:rFonts w:ascii="宋体" w:hAnsi="宋体"/>
          <w:sz w:val="24"/>
        </w:rPr>
        <w:tab/>
      </w:r>
    </w:p>
    <w:p>
      <w:pPr>
        <w:rPr>
          <w:rFonts w:ascii="宋体" w:hAnsi="宋体"/>
          <w:b/>
          <w:bCs/>
        </w:rPr>
      </w:pPr>
    </w:p>
    <w:p>
      <w:pPr>
        <w:rPr>
          <w:rFonts w:ascii="宋体" w:hAnsi="宋体"/>
          <w:b/>
          <w:bCs/>
        </w:rPr>
      </w:pPr>
    </w:p>
    <w:p>
      <w:pPr>
        <w:rPr>
          <w:rFonts w:ascii="宋体" w:hAnsi="宋体"/>
          <w:b/>
          <w:bCs/>
        </w:rPr>
      </w:pPr>
    </w:p>
    <w:p>
      <w:pPr>
        <w:rPr>
          <w:rFonts w:ascii="宋体" w:hAnsi="宋体"/>
          <w:b/>
          <w:bCs/>
        </w:rPr>
      </w:pPr>
    </w:p>
    <w:p>
      <w:pPr>
        <w:rPr>
          <w:rFonts w:ascii="宋体" w:hAnsi="宋体"/>
          <w:b/>
          <w:bCs/>
        </w:rPr>
      </w:pPr>
    </w:p>
    <w:p>
      <w:pPr>
        <w:rPr>
          <w:rFonts w:ascii="宋体" w:hAnsi="宋体"/>
          <w:b/>
          <w:bCs/>
        </w:rPr>
      </w:pPr>
    </w:p>
    <w:p>
      <w:pPr>
        <w:rPr>
          <w:rFonts w:ascii="宋体" w:hAnsi="宋体"/>
          <w:b/>
          <w:bCs/>
        </w:rPr>
      </w:pPr>
    </w:p>
    <w:tbl>
      <w:tblPr>
        <w:tblStyle w:val="24"/>
        <w:tblpPr w:leftFromText="180" w:rightFromText="180" w:vertAnchor="text" w:horzAnchor="page" w:tblpX="1683" w:tblpY="6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8522" w:type="dxa"/>
          </w:tcPr>
          <w:p>
            <w:pPr>
              <w:tabs>
                <w:tab w:val="center" w:pos="4320"/>
                <w:tab w:val="right" w:pos="8640"/>
              </w:tabs>
              <w:spacing w:before="60" w:line="0" w:lineRule="atLeast"/>
              <w:jc w:val="center"/>
              <w:rPr>
                <w:rFonts w:ascii="宋体" w:hAnsi="宋体"/>
                <w:b/>
                <w:color w:val="auto"/>
                <w:sz w:val="28"/>
                <w:szCs w:val="28"/>
              </w:rPr>
            </w:pPr>
            <w:r>
              <w:rPr>
                <w:rFonts w:ascii="宋体" w:hAnsi="宋体"/>
                <w:b/>
                <w:color w:val="auto"/>
                <w:sz w:val="28"/>
                <w:szCs w:val="28"/>
              </w:rPr>
              <w:t>User Requirements Specification</w:t>
            </w:r>
          </w:p>
          <w:p>
            <w:pPr>
              <w:spacing w:line="0" w:lineRule="atLeast"/>
              <w:ind w:firstLine="3255" w:firstLineChars="1351"/>
              <w:rPr>
                <w:rFonts w:ascii="宋体" w:hAnsi="宋体"/>
                <w:b/>
                <w:color w:val="auto"/>
              </w:rPr>
            </w:pPr>
            <w:r>
              <w:rPr>
                <w:rFonts w:ascii="宋体" w:hAnsi="宋体"/>
                <w:b/>
                <w:color w:val="auto"/>
              </w:rPr>
              <w:t>(URS)</w:t>
            </w:r>
            <w:r>
              <w:rPr>
                <w:rFonts w:hint="eastAsia" w:ascii="宋体" w:hAnsi="宋体"/>
                <w:b/>
                <w:color w:val="auto"/>
              </w:rPr>
              <w:t xml:space="preserve"> 用户需求标准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8522" w:type="dxa"/>
            <w:vAlign w:val="center"/>
          </w:tcPr>
          <w:p>
            <w:pPr>
              <w:spacing w:line="0" w:lineRule="atLeast"/>
              <w:jc w:val="center"/>
              <w:rPr>
                <w:rFonts w:ascii="宋体" w:hAnsi="宋体"/>
                <w:b/>
                <w:color w:val="auto"/>
              </w:rPr>
            </w:pPr>
            <w:r>
              <w:rPr>
                <w:rFonts w:hint="eastAsia" w:ascii="宋体" w:hAnsi="宋体"/>
                <w:b/>
                <w:color w:val="auto"/>
              </w:rPr>
              <w:t>安瓿放电检漏机</w:t>
            </w:r>
          </w:p>
        </w:tc>
      </w:tr>
    </w:tbl>
    <w:p>
      <w:pPr>
        <w:jc w:val="left"/>
        <w:rPr>
          <w:rFonts w:ascii="宋体" w:hAnsi="宋体"/>
          <w:color w:val="auto"/>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p>
      <w:pPr>
        <w:jc w:val="left"/>
        <w:rPr>
          <w:rFonts w:ascii="宋体" w:hAnsi="宋体"/>
          <w:sz w:val="32"/>
          <w:szCs w:val="32"/>
        </w:rPr>
      </w:pPr>
    </w:p>
    <w:tbl>
      <w:tblPr>
        <w:tblStyle w:val="24"/>
        <w:tblpPr w:leftFromText="180" w:rightFromText="180" w:vertAnchor="text" w:horzAnchor="page" w:tblpX="1294" w:tblpY="2556"/>
        <w:tblOverlap w:val="never"/>
        <w:tblW w:w="91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43"/>
        <w:gridCol w:w="2155"/>
        <w:gridCol w:w="3264"/>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before="97" w:beforeLines="30" w:after="97" w:afterLines="30"/>
              <w:jc w:val="both"/>
              <w:rPr>
                <w:rFonts w:hint="eastAsia" w:ascii="宋体" w:hAnsi="宋体" w:cs="Arial"/>
                <w:b/>
                <w:color w:val="000000"/>
              </w:rPr>
            </w:pPr>
          </w:p>
          <w:p>
            <w:pPr>
              <w:spacing w:before="97" w:beforeLines="30" w:after="97" w:afterLines="30"/>
              <w:jc w:val="center"/>
              <w:rPr>
                <w:rFonts w:hint="eastAsia" w:ascii="宋体" w:hAnsi="宋体" w:cs="Arial"/>
                <w:b/>
                <w:color w:val="000000"/>
              </w:rPr>
            </w:pPr>
          </w:p>
          <w:p>
            <w:pPr>
              <w:spacing w:before="97" w:beforeLines="30" w:after="97" w:afterLines="30"/>
              <w:jc w:val="center"/>
              <w:rPr>
                <w:rFonts w:hint="eastAsia" w:ascii="宋体" w:hAnsi="宋体" w:cs="Arial"/>
                <w:b/>
                <w:color w:val="000000"/>
              </w:rPr>
            </w:pPr>
          </w:p>
          <w:p>
            <w:pPr>
              <w:spacing w:before="97" w:beforeLines="30" w:after="97" w:afterLines="30"/>
              <w:jc w:val="center"/>
              <w:rPr>
                <w:rFonts w:ascii="宋体" w:hAnsi="宋体"/>
                <w:b/>
                <w:color w:val="000000"/>
              </w:rPr>
            </w:pPr>
            <w:r>
              <w:rPr>
                <w:rFonts w:hint="eastAsia" w:ascii="宋体" w:hAnsi="宋体" w:cs="Arial"/>
                <w:b/>
                <w:color w:val="000000"/>
              </w:rPr>
              <w:t>编</w:t>
            </w:r>
            <w:r>
              <w:rPr>
                <w:rFonts w:ascii="宋体" w:hAnsi="宋体" w:cs="Arial"/>
                <w:b/>
                <w:color w:val="000000"/>
              </w:rPr>
              <w:t xml:space="preserve"> </w:t>
            </w:r>
            <w:r>
              <w:rPr>
                <w:rFonts w:hint="eastAsia" w:ascii="宋体" w:hAnsi="宋体" w:cs="Arial"/>
                <w:b/>
                <w:color w:val="000000"/>
              </w:rPr>
              <w:t>写</w:t>
            </w:r>
          </w:p>
        </w:tc>
        <w:tc>
          <w:tcPr>
            <w:tcW w:w="2155" w:type="dxa"/>
            <w:vMerge w:val="restart"/>
            <w:tcBorders>
              <w:top w:val="single" w:color="auto" w:sz="4" w:space="0"/>
              <w:left w:val="single" w:color="auto" w:sz="4" w:space="0"/>
              <w:bottom w:val="single" w:color="auto" w:sz="4" w:space="0"/>
              <w:right w:val="single" w:color="auto" w:sz="4" w:space="0"/>
            </w:tcBorders>
            <w:vAlign w:val="center"/>
          </w:tcPr>
          <w:p>
            <w:pPr>
              <w:spacing w:before="97" w:beforeLines="30" w:after="97" w:afterLines="30"/>
              <w:jc w:val="center"/>
              <w:rPr>
                <w:rFonts w:ascii="宋体" w:hAnsi="宋体"/>
                <w:color w:val="000000"/>
                <w:lang w:val="en-GB"/>
              </w:rPr>
            </w:pPr>
            <w:r>
              <w:rPr>
                <w:rFonts w:hint="eastAsia" w:ascii="宋体" w:hAnsi="宋体"/>
                <w:color w:val="000000"/>
                <w:lang w:val="en-GB"/>
              </w:rPr>
              <w:t>车间</w:t>
            </w:r>
          </w:p>
        </w:tc>
        <w:tc>
          <w:tcPr>
            <w:tcW w:w="3264"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lang w:val="en-GB"/>
              </w:rPr>
            </w:pPr>
            <w:r>
              <w:rPr>
                <w:rFonts w:ascii="宋体" w:hAnsi="宋体" w:cs="Arial"/>
                <w:color w:val="000000"/>
                <w:lang w:val="en-GB"/>
              </w:rPr>
              <w:t xml:space="preserve"> </w:t>
            </w:r>
            <w:r>
              <w:rPr>
                <w:rFonts w:hint="eastAsia" w:ascii="宋体" w:hAnsi="宋体" w:cs="Arial"/>
                <w:color w:val="000000"/>
              </w:rPr>
              <w:t>签</w:t>
            </w:r>
            <w:r>
              <w:rPr>
                <w:rFonts w:ascii="宋体" w:hAnsi="宋体" w:cs="Arial"/>
                <w:color w:val="000000"/>
              </w:rPr>
              <w:t xml:space="preserve">     </w:t>
            </w:r>
            <w:r>
              <w:rPr>
                <w:rFonts w:hint="eastAsia" w:ascii="宋体" w:hAnsi="宋体" w:cs="Arial"/>
                <w:color w:val="000000"/>
              </w:rPr>
              <w:t>名</w:t>
            </w:r>
          </w:p>
        </w:tc>
        <w:tc>
          <w:tcPr>
            <w:tcW w:w="1877"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lang w:val="en-GB"/>
              </w:rPr>
            </w:pPr>
            <w:r>
              <w:rPr>
                <w:rFonts w:hint="eastAsia" w:ascii="宋体" w:hAnsi="宋体" w:cs="Arial"/>
                <w:color w:val="000000"/>
              </w:rPr>
              <w:t>日</w:t>
            </w:r>
            <w:r>
              <w:rPr>
                <w:rFonts w:ascii="宋体" w:hAnsi="宋体" w:cs="Arial"/>
                <w:color w:val="000000"/>
              </w:rPr>
              <w:t xml:space="preserve">    </w:t>
            </w:r>
            <w:r>
              <w:rPr>
                <w:rFonts w:hint="eastAsia" w:ascii="宋体" w:hAnsi="宋体" w:cs="Arial"/>
                <w:color w:val="000000"/>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4" w:hRule="atLeast"/>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b/>
                <w:color w:val="000000"/>
              </w:rPr>
            </w:pPr>
          </w:p>
        </w:tc>
        <w:tc>
          <w:tcPr>
            <w:tcW w:w="215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lang w:val="en-GB"/>
              </w:rPr>
            </w:pPr>
          </w:p>
        </w:tc>
        <w:tc>
          <w:tcPr>
            <w:tcW w:w="3264"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rPr>
            </w:pPr>
          </w:p>
        </w:tc>
        <w:tc>
          <w:tcPr>
            <w:tcW w:w="1877"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before="97" w:beforeLines="30" w:after="97" w:afterLines="30"/>
              <w:jc w:val="center"/>
              <w:rPr>
                <w:rFonts w:ascii="宋体" w:hAnsi="宋体" w:cs="Arial"/>
                <w:b/>
                <w:color w:val="000000"/>
              </w:rPr>
            </w:pPr>
            <w:r>
              <w:rPr>
                <w:rFonts w:hint="eastAsia" w:ascii="宋体" w:hAnsi="宋体" w:cs="Arial"/>
                <w:b/>
                <w:color w:val="000000"/>
              </w:rPr>
              <w:t>审</w:t>
            </w:r>
            <w:r>
              <w:rPr>
                <w:rFonts w:ascii="宋体" w:hAnsi="宋体" w:cs="Arial"/>
                <w:b/>
                <w:color w:val="000000"/>
              </w:rPr>
              <w:t xml:space="preserve"> </w:t>
            </w:r>
            <w:r>
              <w:rPr>
                <w:rFonts w:hint="eastAsia" w:ascii="宋体" w:hAnsi="宋体" w:cs="Arial"/>
                <w:b/>
                <w:color w:val="000000"/>
              </w:rPr>
              <w:t>核</w:t>
            </w:r>
          </w:p>
        </w:tc>
        <w:tc>
          <w:tcPr>
            <w:tcW w:w="2155" w:type="dxa"/>
            <w:vMerge w:val="restart"/>
            <w:tcBorders>
              <w:top w:val="single" w:color="auto" w:sz="4" w:space="0"/>
              <w:left w:val="single" w:color="auto" w:sz="4" w:space="0"/>
              <w:bottom w:val="single" w:color="auto" w:sz="4" w:space="0"/>
              <w:right w:val="single" w:color="auto" w:sz="4" w:space="0"/>
            </w:tcBorders>
            <w:vAlign w:val="center"/>
          </w:tcPr>
          <w:p>
            <w:pPr>
              <w:spacing w:before="97" w:beforeLines="30" w:after="97" w:afterLines="30"/>
              <w:jc w:val="center"/>
              <w:rPr>
                <w:rFonts w:ascii="宋体" w:hAnsi="宋体"/>
                <w:color w:val="000000"/>
                <w:lang w:val="en-GB"/>
              </w:rPr>
            </w:pPr>
            <w:r>
              <w:rPr>
                <w:rFonts w:hint="eastAsia" w:ascii="宋体" w:hAnsi="宋体"/>
                <w:color w:val="000000"/>
                <w:lang w:val="en-GB"/>
              </w:rPr>
              <w:t>设备工程部</w:t>
            </w:r>
          </w:p>
        </w:tc>
        <w:tc>
          <w:tcPr>
            <w:tcW w:w="3264"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lang w:val="en-GB"/>
              </w:rPr>
            </w:pPr>
            <w:r>
              <w:rPr>
                <w:rFonts w:ascii="宋体" w:hAnsi="宋体" w:cs="Arial"/>
                <w:color w:val="000000"/>
                <w:lang w:val="en-GB"/>
              </w:rPr>
              <w:t xml:space="preserve"> </w:t>
            </w:r>
            <w:r>
              <w:rPr>
                <w:rFonts w:hint="eastAsia" w:ascii="宋体" w:hAnsi="宋体" w:cs="Arial"/>
                <w:color w:val="000000"/>
              </w:rPr>
              <w:t>签</w:t>
            </w:r>
            <w:r>
              <w:rPr>
                <w:rFonts w:ascii="宋体" w:hAnsi="宋体" w:cs="Arial"/>
                <w:color w:val="000000"/>
              </w:rPr>
              <w:t xml:space="preserve">     </w:t>
            </w:r>
            <w:r>
              <w:rPr>
                <w:rFonts w:hint="eastAsia" w:ascii="宋体" w:hAnsi="宋体" w:cs="Arial"/>
                <w:color w:val="000000"/>
              </w:rPr>
              <w:t>名</w:t>
            </w:r>
          </w:p>
        </w:tc>
        <w:tc>
          <w:tcPr>
            <w:tcW w:w="1877"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lang w:val="en-GB"/>
              </w:rPr>
            </w:pPr>
            <w:r>
              <w:rPr>
                <w:rFonts w:hint="eastAsia" w:ascii="宋体" w:hAnsi="宋体" w:cs="Arial"/>
                <w:color w:val="000000"/>
              </w:rPr>
              <w:t>日</w:t>
            </w:r>
            <w:r>
              <w:rPr>
                <w:rFonts w:ascii="宋体" w:hAnsi="宋体" w:cs="Arial"/>
                <w:color w:val="000000"/>
              </w:rPr>
              <w:t xml:space="preserve">    </w:t>
            </w:r>
            <w:r>
              <w:rPr>
                <w:rFonts w:hint="eastAsia" w:ascii="宋体" w:hAnsi="宋体" w:cs="Arial"/>
                <w:color w:val="000000"/>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Arial"/>
                <w:b/>
                <w:color w:val="000000"/>
              </w:rPr>
            </w:pPr>
          </w:p>
        </w:tc>
        <w:tc>
          <w:tcPr>
            <w:tcW w:w="215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lang w:val="en-GB"/>
              </w:rPr>
            </w:pPr>
          </w:p>
        </w:tc>
        <w:tc>
          <w:tcPr>
            <w:tcW w:w="3264"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lang w:val="en-GB"/>
              </w:rPr>
            </w:pPr>
            <w:r>
              <w:rPr>
                <w:rFonts w:ascii="宋体" w:hAnsi="宋体" w:cs="Arial"/>
                <w:color w:val="000000"/>
                <w:lang w:val="en-GB"/>
              </w:rPr>
              <w:t xml:space="preserve"> </w:t>
            </w:r>
          </w:p>
        </w:tc>
        <w:tc>
          <w:tcPr>
            <w:tcW w:w="1877"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before="97" w:beforeLines="30" w:after="97" w:afterLines="30"/>
              <w:jc w:val="center"/>
              <w:rPr>
                <w:rFonts w:ascii="宋体" w:hAnsi="宋体"/>
                <w:b/>
                <w:color w:val="000000"/>
              </w:rPr>
            </w:pPr>
            <w:r>
              <w:rPr>
                <w:rFonts w:hint="eastAsia" w:ascii="宋体" w:hAnsi="宋体" w:cs="Arial"/>
                <w:b/>
                <w:color w:val="000000"/>
              </w:rPr>
              <w:t>审</w:t>
            </w:r>
            <w:r>
              <w:rPr>
                <w:rFonts w:ascii="宋体" w:hAnsi="宋体" w:cs="Arial"/>
                <w:b/>
                <w:color w:val="000000"/>
              </w:rPr>
              <w:t xml:space="preserve"> </w:t>
            </w:r>
            <w:r>
              <w:rPr>
                <w:rFonts w:hint="eastAsia" w:ascii="宋体" w:hAnsi="宋体" w:cs="Arial"/>
                <w:b/>
                <w:color w:val="000000"/>
              </w:rPr>
              <w:t>核</w:t>
            </w:r>
          </w:p>
        </w:tc>
        <w:tc>
          <w:tcPr>
            <w:tcW w:w="2155" w:type="dxa"/>
            <w:vMerge w:val="restart"/>
            <w:tcBorders>
              <w:top w:val="single" w:color="auto" w:sz="4" w:space="0"/>
              <w:left w:val="single" w:color="auto" w:sz="4" w:space="0"/>
              <w:bottom w:val="single" w:color="auto" w:sz="4" w:space="0"/>
              <w:right w:val="single" w:color="auto" w:sz="4" w:space="0"/>
            </w:tcBorders>
            <w:vAlign w:val="center"/>
          </w:tcPr>
          <w:p>
            <w:pPr>
              <w:spacing w:before="97" w:beforeLines="30" w:after="97" w:afterLines="30"/>
              <w:jc w:val="center"/>
              <w:rPr>
                <w:rFonts w:ascii="宋体" w:hAnsi="宋体"/>
                <w:color w:val="000000"/>
                <w:lang w:val="en-GB"/>
              </w:rPr>
            </w:pPr>
            <w:r>
              <w:rPr>
                <w:rFonts w:hint="eastAsia" w:ascii="宋体" w:hAnsi="宋体"/>
                <w:color w:val="000000"/>
                <w:lang w:val="en-GB"/>
              </w:rPr>
              <w:t>质量保证部</w:t>
            </w:r>
          </w:p>
        </w:tc>
        <w:tc>
          <w:tcPr>
            <w:tcW w:w="3264"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s="Arial"/>
                <w:color w:val="000000"/>
              </w:rPr>
            </w:pPr>
            <w:r>
              <w:rPr>
                <w:rFonts w:ascii="宋体" w:hAnsi="宋体" w:cs="Arial"/>
                <w:color w:val="000000"/>
                <w:lang w:val="en-GB"/>
              </w:rPr>
              <w:t xml:space="preserve"> </w:t>
            </w:r>
            <w:r>
              <w:rPr>
                <w:rFonts w:hint="eastAsia" w:ascii="宋体" w:hAnsi="宋体" w:cs="Arial"/>
                <w:color w:val="000000"/>
              </w:rPr>
              <w:t>签</w:t>
            </w:r>
            <w:r>
              <w:rPr>
                <w:rFonts w:ascii="宋体" w:hAnsi="宋体" w:cs="Arial"/>
                <w:color w:val="000000"/>
              </w:rPr>
              <w:t xml:space="preserve">     </w:t>
            </w:r>
            <w:r>
              <w:rPr>
                <w:rFonts w:hint="eastAsia" w:ascii="宋体" w:hAnsi="宋体" w:cs="Arial"/>
                <w:color w:val="000000"/>
              </w:rPr>
              <w:t>名</w:t>
            </w:r>
          </w:p>
        </w:tc>
        <w:tc>
          <w:tcPr>
            <w:tcW w:w="1877"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s="Arial"/>
                <w:color w:val="000000"/>
              </w:rPr>
            </w:pPr>
            <w:r>
              <w:rPr>
                <w:rFonts w:hint="eastAsia" w:ascii="宋体" w:hAnsi="宋体" w:cs="Arial"/>
                <w:color w:val="000000"/>
              </w:rPr>
              <w:t>日</w:t>
            </w:r>
            <w:r>
              <w:rPr>
                <w:rFonts w:ascii="宋体" w:hAnsi="宋体" w:cs="Arial"/>
                <w:color w:val="000000"/>
              </w:rPr>
              <w:t xml:space="preserve">    </w:t>
            </w:r>
            <w:r>
              <w:rPr>
                <w:rFonts w:hint="eastAsia" w:ascii="宋体" w:hAnsi="宋体" w:cs="Arial"/>
                <w:color w:val="000000"/>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b/>
                <w:color w:val="000000"/>
              </w:rPr>
            </w:pPr>
          </w:p>
        </w:tc>
        <w:tc>
          <w:tcPr>
            <w:tcW w:w="215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lang w:val="en-GB"/>
              </w:rPr>
            </w:pPr>
          </w:p>
        </w:tc>
        <w:tc>
          <w:tcPr>
            <w:tcW w:w="3264"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lang w:val="en-GB"/>
              </w:rPr>
            </w:pPr>
          </w:p>
        </w:tc>
        <w:tc>
          <w:tcPr>
            <w:tcW w:w="1877"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before="97" w:beforeLines="30" w:after="97" w:afterLines="30"/>
              <w:jc w:val="center"/>
              <w:rPr>
                <w:rFonts w:ascii="宋体" w:hAnsi="宋体"/>
                <w:b/>
                <w:color w:val="000000"/>
              </w:rPr>
            </w:pPr>
            <w:r>
              <w:rPr>
                <w:rFonts w:hint="eastAsia" w:ascii="宋体" w:hAnsi="宋体" w:cs="Arial"/>
                <w:b/>
                <w:color w:val="000000"/>
              </w:rPr>
              <w:t>审</w:t>
            </w:r>
            <w:r>
              <w:rPr>
                <w:rFonts w:ascii="宋体" w:hAnsi="宋体" w:cs="Arial"/>
                <w:b/>
                <w:color w:val="000000"/>
              </w:rPr>
              <w:t xml:space="preserve"> </w:t>
            </w:r>
            <w:r>
              <w:rPr>
                <w:rFonts w:hint="eastAsia" w:ascii="宋体" w:hAnsi="宋体" w:cs="Arial"/>
                <w:b/>
                <w:color w:val="000000"/>
              </w:rPr>
              <w:t>核</w:t>
            </w:r>
          </w:p>
        </w:tc>
        <w:tc>
          <w:tcPr>
            <w:tcW w:w="2155" w:type="dxa"/>
            <w:vMerge w:val="restart"/>
            <w:tcBorders>
              <w:top w:val="single" w:color="auto" w:sz="4" w:space="0"/>
              <w:left w:val="single" w:color="auto" w:sz="4" w:space="0"/>
              <w:bottom w:val="single" w:color="auto" w:sz="4" w:space="0"/>
              <w:right w:val="single" w:color="auto" w:sz="4" w:space="0"/>
            </w:tcBorders>
            <w:vAlign w:val="center"/>
          </w:tcPr>
          <w:p>
            <w:pPr>
              <w:spacing w:before="97" w:beforeLines="30" w:after="97" w:afterLines="30"/>
              <w:jc w:val="center"/>
              <w:rPr>
                <w:rFonts w:ascii="宋体" w:hAnsi="宋体"/>
                <w:color w:val="000000"/>
                <w:lang w:val="en-GB"/>
              </w:rPr>
            </w:pPr>
            <w:r>
              <w:rPr>
                <w:rFonts w:hint="eastAsia" w:ascii="宋体" w:hAnsi="宋体"/>
                <w:color w:val="000000"/>
                <w:lang w:val="en-GB"/>
              </w:rPr>
              <w:t>生产运营部</w:t>
            </w:r>
          </w:p>
        </w:tc>
        <w:tc>
          <w:tcPr>
            <w:tcW w:w="3264"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lang w:val="fr-FR"/>
              </w:rPr>
            </w:pPr>
            <w:r>
              <w:rPr>
                <w:rFonts w:ascii="宋体" w:hAnsi="宋体" w:cs="Arial"/>
                <w:color w:val="000000"/>
                <w:lang w:val="en-GB"/>
              </w:rPr>
              <w:t xml:space="preserve"> </w:t>
            </w:r>
            <w:r>
              <w:rPr>
                <w:rFonts w:hint="eastAsia" w:ascii="宋体" w:hAnsi="宋体" w:cs="Arial"/>
                <w:color w:val="000000"/>
              </w:rPr>
              <w:t>签</w:t>
            </w:r>
            <w:r>
              <w:rPr>
                <w:rFonts w:ascii="宋体" w:hAnsi="宋体" w:cs="Arial"/>
                <w:color w:val="000000"/>
              </w:rPr>
              <w:t xml:space="preserve">     </w:t>
            </w:r>
            <w:r>
              <w:rPr>
                <w:rFonts w:hint="eastAsia" w:ascii="宋体" w:hAnsi="宋体" w:cs="Arial"/>
                <w:color w:val="000000"/>
              </w:rPr>
              <w:t>名</w:t>
            </w:r>
          </w:p>
        </w:tc>
        <w:tc>
          <w:tcPr>
            <w:tcW w:w="1877"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lang w:val="fr-FR"/>
              </w:rPr>
            </w:pPr>
            <w:r>
              <w:rPr>
                <w:rFonts w:hint="eastAsia" w:ascii="宋体" w:hAnsi="宋体" w:cs="Arial"/>
                <w:color w:val="000000"/>
              </w:rPr>
              <w:t>日</w:t>
            </w:r>
            <w:r>
              <w:rPr>
                <w:rFonts w:ascii="宋体" w:hAnsi="宋体" w:cs="Arial"/>
                <w:color w:val="000000"/>
              </w:rPr>
              <w:t xml:space="preserve">    </w:t>
            </w:r>
            <w:r>
              <w:rPr>
                <w:rFonts w:hint="eastAsia" w:ascii="宋体" w:hAnsi="宋体" w:cs="Arial"/>
                <w:color w:val="000000"/>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b/>
                <w:color w:val="000000"/>
              </w:rPr>
            </w:pPr>
          </w:p>
        </w:tc>
        <w:tc>
          <w:tcPr>
            <w:tcW w:w="215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lang w:val="en-GB"/>
              </w:rPr>
            </w:pPr>
          </w:p>
        </w:tc>
        <w:tc>
          <w:tcPr>
            <w:tcW w:w="3264"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lang w:val="en-GB"/>
              </w:rPr>
            </w:pPr>
          </w:p>
        </w:tc>
        <w:tc>
          <w:tcPr>
            <w:tcW w:w="1877"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trPr>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before="97" w:beforeLines="30" w:after="97" w:afterLines="30"/>
              <w:jc w:val="center"/>
              <w:rPr>
                <w:rFonts w:ascii="宋体" w:hAnsi="宋体"/>
                <w:b/>
                <w:color w:val="000000"/>
              </w:rPr>
            </w:pPr>
            <w:r>
              <w:rPr>
                <w:rFonts w:hint="eastAsia" w:ascii="宋体" w:hAnsi="宋体" w:cs="Arial"/>
                <w:b/>
                <w:color w:val="000000"/>
              </w:rPr>
              <w:t>批</w:t>
            </w:r>
            <w:r>
              <w:rPr>
                <w:rFonts w:ascii="宋体" w:hAnsi="宋体" w:cs="Arial"/>
                <w:b/>
                <w:color w:val="000000"/>
              </w:rPr>
              <w:t xml:space="preserve"> </w:t>
            </w:r>
            <w:r>
              <w:rPr>
                <w:rFonts w:hint="eastAsia" w:ascii="宋体" w:hAnsi="宋体" w:cs="Arial"/>
                <w:b/>
                <w:color w:val="000000"/>
              </w:rPr>
              <w:t>准</w:t>
            </w:r>
          </w:p>
        </w:tc>
        <w:tc>
          <w:tcPr>
            <w:tcW w:w="2155" w:type="dxa"/>
            <w:vMerge w:val="restart"/>
            <w:tcBorders>
              <w:top w:val="single" w:color="auto" w:sz="4" w:space="0"/>
              <w:left w:val="single" w:color="auto" w:sz="4" w:space="0"/>
              <w:bottom w:val="single" w:color="auto" w:sz="4" w:space="0"/>
              <w:right w:val="single" w:color="auto" w:sz="4" w:space="0"/>
            </w:tcBorders>
            <w:vAlign w:val="center"/>
          </w:tcPr>
          <w:p>
            <w:pPr>
              <w:spacing w:before="97" w:beforeLines="30" w:after="97" w:afterLines="30"/>
              <w:jc w:val="center"/>
              <w:rPr>
                <w:rFonts w:ascii="宋体" w:hAnsi="宋体"/>
                <w:b/>
                <w:color w:val="000000"/>
              </w:rPr>
            </w:pPr>
            <w:r>
              <w:rPr>
                <w:rFonts w:hint="eastAsia" w:ascii="宋体" w:hAnsi="宋体"/>
                <w:color w:val="000000"/>
              </w:rPr>
              <w:t>质量负责人</w:t>
            </w:r>
          </w:p>
        </w:tc>
        <w:tc>
          <w:tcPr>
            <w:tcW w:w="3264"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rPr>
            </w:pPr>
            <w:r>
              <w:rPr>
                <w:rFonts w:ascii="宋体" w:hAnsi="宋体" w:cs="Arial"/>
                <w:color w:val="000000"/>
                <w:lang w:val="en-GB"/>
              </w:rPr>
              <w:t xml:space="preserve"> </w:t>
            </w:r>
            <w:r>
              <w:rPr>
                <w:rFonts w:hint="eastAsia" w:ascii="宋体" w:hAnsi="宋体" w:cs="Arial"/>
                <w:color w:val="000000"/>
              </w:rPr>
              <w:t>签</w:t>
            </w:r>
            <w:r>
              <w:rPr>
                <w:rFonts w:ascii="宋体" w:hAnsi="宋体" w:cs="Arial"/>
                <w:color w:val="000000"/>
              </w:rPr>
              <w:t xml:space="preserve">     </w:t>
            </w:r>
            <w:r>
              <w:rPr>
                <w:rFonts w:hint="eastAsia" w:ascii="宋体" w:hAnsi="宋体" w:cs="Arial"/>
                <w:color w:val="000000"/>
              </w:rPr>
              <w:t>名</w:t>
            </w:r>
          </w:p>
        </w:tc>
        <w:tc>
          <w:tcPr>
            <w:tcW w:w="1877"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rPr>
            </w:pPr>
            <w:r>
              <w:rPr>
                <w:rFonts w:hint="eastAsia" w:ascii="宋体" w:hAnsi="宋体" w:cs="Arial"/>
                <w:color w:val="000000"/>
              </w:rPr>
              <w:t>日</w:t>
            </w:r>
            <w:r>
              <w:rPr>
                <w:rFonts w:ascii="宋体" w:hAnsi="宋体" w:cs="Arial"/>
                <w:color w:val="000000"/>
              </w:rPr>
              <w:t xml:space="preserve">    </w:t>
            </w:r>
            <w:r>
              <w:rPr>
                <w:rFonts w:hint="eastAsia" w:ascii="宋体" w:hAnsi="宋体" w:cs="Arial"/>
                <w:color w:val="000000"/>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trPr>
        <w:tc>
          <w:tcPr>
            <w:tcW w:w="184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b/>
                <w:color w:val="000000"/>
              </w:rPr>
            </w:pPr>
          </w:p>
        </w:tc>
        <w:tc>
          <w:tcPr>
            <w:tcW w:w="215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b/>
                <w:color w:val="000000"/>
              </w:rPr>
            </w:pPr>
          </w:p>
        </w:tc>
        <w:tc>
          <w:tcPr>
            <w:tcW w:w="3264"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lang w:val="en-GB"/>
              </w:rPr>
            </w:pPr>
            <w:r>
              <w:rPr>
                <w:rFonts w:ascii="宋体" w:hAnsi="宋体" w:cs="Arial"/>
                <w:color w:val="000000"/>
              </w:rPr>
              <w:t xml:space="preserve"> </w:t>
            </w:r>
          </w:p>
        </w:tc>
        <w:tc>
          <w:tcPr>
            <w:tcW w:w="1877" w:type="dxa"/>
            <w:tcBorders>
              <w:top w:val="single" w:color="auto" w:sz="4" w:space="0"/>
              <w:left w:val="single" w:color="auto" w:sz="4" w:space="0"/>
              <w:bottom w:val="single" w:color="auto" w:sz="4" w:space="0"/>
              <w:right w:val="single" w:color="auto" w:sz="4" w:space="0"/>
            </w:tcBorders>
          </w:tcPr>
          <w:p>
            <w:pPr>
              <w:spacing w:before="97" w:beforeLines="30" w:after="97" w:afterLines="30"/>
              <w:jc w:val="center"/>
              <w:rPr>
                <w:rFonts w:ascii="宋体" w:hAnsi="宋体"/>
                <w:color w:val="000000"/>
              </w:rPr>
            </w:pPr>
          </w:p>
        </w:tc>
      </w:tr>
    </w:tbl>
    <w:p>
      <w:pPr>
        <w:jc w:val="center"/>
        <w:rPr>
          <w:rFonts w:ascii="宋体" w:hAnsi="宋体"/>
          <w:b/>
          <w:bCs/>
        </w:rPr>
      </w:pPr>
      <w:r>
        <w:rPr>
          <w:rFonts w:ascii="宋体" w:hAnsi="宋体"/>
          <w:b/>
          <w:bCs/>
        </w:rPr>
        <w:br w:type="page"/>
      </w:r>
    </w:p>
    <w:p>
      <w:pPr>
        <w:rPr>
          <w:rFonts w:ascii="宋体" w:hAnsi="宋体"/>
        </w:rPr>
      </w:pPr>
    </w:p>
    <w:sdt>
      <w:sdtPr>
        <w:rPr>
          <w:rFonts w:ascii="宋体" w:hAnsi="宋体"/>
          <w:sz w:val="21"/>
        </w:rPr>
        <w:id w:val="147453957"/>
        <w15:color w:val="DBDBDB"/>
        <w:docPartObj>
          <w:docPartGallery w:val="Table of Contents"/>
          <w:docPartUnique/>
        </w:docPartObj>
      </w:sdtPr>
      <w:sdtEndPr>
        <w:rPr>
          <w:rFonts w:ascii="宋体" w:hAnsi="宋体"/>
          <w:sz w:val="21"/>
        </w:rPr>
      </w:sdtEndPr>
      <w:sdtContent>
        <w:p>
          <w:pPr>
            <w:jc w:val="center"/>
            <w:rPr>
              <w:rFonts w:ascii="宋体" w:hAnsi="宋体"/>
              <w:sz w:val="30"/>
              <w:szCs w:val="30"/>
            </w:rPr>
          </w:pPr>
          <w:r>
            <w:rPr>
              <w:rFonts w:ascii="宋体" w:hAnsi="宋体"/>
              <w:sz w:val="30"/>
              <w:szCs w:val="30"/>
            </w:rPr>
            <w:t>目录</w:t>
          </w:r>
        </w:p>
        <w:p>
          <w:pPr>
            <w:pStyle w:val="15"/>
            <w:tabs>
              <w:tab w:val="left" w:pos="840"/>
              <w:tab w:val="right" w:leader="dot" w:pos="9344"/>
            </w:tabs>
            <w:rPr>
              <w:rFonts w:asciiTheme="minorHAnsi" w:hAnsiTheme="minorHAnsi" w:eastAsiaTheme="minorEastAsia" w:cstheme="minorBidi"/>
              <w:sz w:val="21"/>
              <w:szCs w:val="22"/>
            </w:rPr>
          </w:pPr>
          <w:r>
            <w:rPr>
              <w:rFonts w:ascii="宋体" w:hAnsi="宋体"/>
            </w:rPr>
            <w:fldChar w:fldCharType="begin"/>
          </w:r>
          <w:r>
            <w:rPr>
              <w:rFonts w:ascii="宋体" w:hAnsi="宋体"/>
            </w:rPr>
            <w:instrText xml:space="preserve">TOC \o "1-3" \h \u </w:instrText>
          </w:r>
          <w:r>
            <w:rPr>
              <w:rFonts w:ascii="宋体" w:hAnsi="宋体"/>
            </w:rPr>
            <w:fldChar w:fldCharType="separate"/>
          </w:r>
          <w:r>
            <w:fldChar w:fldCharType="begin"/>
          </w:r>
          <w:r>
            <w:instrText xml:space="preserve"> HYPERLINK \l "_Toc23165128" </w:instrText>
          </w:r>
          <w:r>
            <w:fldChar w:fldCharType="separate"/>
          </w:r>
          <w:r>
            <w:rPr>
              <w:rStyle w:val="29"/>
              <w:rFonts w:ascii="宋体" w:hAnsi="宋体"/>
            </w:rPr>
            <w:t>1.</w:t>
          </w:r>
          <w:r>
            <w:rPr>
              <w:rFonts w:asciiTheme="minorHAnsi" w:hAnsiTheme="minorHAnsi" w:eastAsiaTheme="minorEastAsia" w:cstheme="minorBidi"/>
              <w:sz w:val="21"/>
              <w:szCs w:val="22"/>
            </w:rPr>
            <w:tab/>
          </w:r>
          <w:r>
            <w:rPr>
              <w:rStyle w:val="29"/>
              <w:rFonts w:ascii="宋体" w:hAnsi="宋体"/>
            </w:rPr>
            <w:t>综述</w:t>
          </w:r>
          <w:r>
            <w:tab/>
          </w:r>
          <w:r>
            <w:fldChar w:fldCharType="begin"/>
          </w:r>
          <w:r>
            <w:instrText xml:space="preserve"> PAGEREF _Toc23165128 \h </w:instrText>
          </w:r>
          <w:r>
            <w:fldChar w:fldCharType="separate"/>
          </w:r>
          <w:r>
            <w:t>4</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"_Toc23165129" </w:instrText>
          </w:r>
          <w:r>
            <w:fldChar w:fldCharType="separate"/>
          </w:r>
          <w:r>
            <w:rPr>
              <w:rStyle w:val="29"/>
              <w:rFonts w:ascii="宋体" w:hAnsi="宋体" w:cs="宋体"/>
            </w:rPr>
            <w:t>1.1.</w:t>
          </w:r>
          <w:r>
            <w:rPr>
              <w:rFonts w:asciiTheme="minorHAnsi" w:hAnsiTheme="minorHAnsi" w:eastAsiaTheme="minorEastAsia" w:cstheme="minorBidi"/>
              <w:sz w:val="21"/>
              <w:szCs w:val="22"/>
            </w:rPr>
            <w:tab/>
          </w:r>
          <w:r>
            <w:rPr>
              <w:rStyle w:val="29"/>
              <w:rFonts w:ascii="宋体" w:hAnsi="宋体" w:cs="宋体"/>
            </w:rPr>
            <w:t>用途</w:t>
          </w:r>
          <w:r>
            <w:tab/>
          </w:r>
          <w:r>
            <w:fldChar w:fldCharType="begin"/>
          </w:r>
          <w:r>
            <w:instrText xml:space="preserve"> PAGEREF _Toc23165129 \h </w:instrText>
          </w:r>
          <w:r>
            <w:fldChar w:fldCharType="separate"/>
          </w:r>
          <w:r>
            <w:t>4</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"_Toc23165130" </w:instrText>
          </w:r>
          <w:r>
            <w:fldChar w:fldCharType="separate"/>
          </w:r>
          <w:r>
            <w:rPr>
              <w:rStyle w:val="29"/>
              <w:rFonts w:ascii="宋体" w:hAnsi="宋体" w:cs="宋体"/>
            </w:rPr>
            <w:t>1.2.</w:t>
          </w:r>
          <w:r>
            <w:rPr>
              <w:rFonts w:asciiTheme="minorHAnsi" w:hAnsiTheme="minorHAnsi" w:eastAsiaTheme="minorEastAsia" w:cstheme="minorBidi"/>
              <w:sz w:val="21"/>
              <w:szCs w:val="22"/>
            </w:rPr>
            <w:tab/>
          </w:r>
          <w:r>
            <w:rPr>
              <w:rStyle w:val="29"/>
              <w:rFonts w:ascii="宋体" w:hAnsi="宋体" w:cs="宋体"/>
            </w:rPr>
            <w:t>目的</w:t>
          </w:r>
          <w:r>
            <w:tab/>
          </w:r>
          <w:r>
            <w:fldChar w:fldCharType="begin"/>
          </w:r>
          <w:r>
            <w:instrText xml:space="preserve"> PAGEREF _Toc23165130 \h </w:instrText>
          </w:r>
          <w:r>
            <w:fldChar w:fldCharType="separate"/>
          </w:r>
          <w:r>
            <w:t>4</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"_Toc23165131" </w:instrText>
          </w:r>
          <w:r>
            <w:fldChar w:fldCharType="separate"/>
          </w:r>
          <w:r>
            <w:rPr>
              <w:rStyle w:val="29"/>
              <w:rFonts w:ascii="宋体" w:hAnsi="宋体" w:cs="宋体"/>
            </w:rPr>
            <w:t>1.3.</w:t>
          </w:r>
          <w:r>
            <w:rPr>
              <w:rFonts w:asciiTheme="minorHAnsi" w:hAnsiTheme="minorHAnsi" w:eastAsiaTheme="minorEastAsia" w:cstheme="minorBidi"/>
              <w:sz w:val="21"/>
              <w:szCs w:val="22"/>
            </w:rPr>
            <w:tab/>
          </w:r>
          <w:r>
            <w:rPr>
              <w:rStyle w:val="29"/>
              <w:rFonts w:ascii="宋体" w:hAnsi="宋体" w:cs="宋体"/>
            </w:rPr>
            <w:t>范围</w:t>
          </w:r>
          <w:r>
            <w:tab/>
          </w:r>
          <w:r>
            <w:fldChar w:fldCharType="begin"/>
          </w:r>
          <w:r>
            <w:instrText xml:space="preserve"> PAGEREF _Toc23165131 \h </w:instrText>
          </w:r>
          <w:r>
            <w:fldChar w:fldCharType="separate"/>
          </w:r>
          <w:r>
            <w:t>4</w:t>
          </w:r>
          <w:r>
            <w:fldChar w:fldCharType="end"/>
          </w:r>
          <w:r>
            <w:fldChar w:fldCharType="end"/>
          </w:r>
        </w:p>
        <w:p>
          <w:pPr>
            <w:pStyle w:val="15"/>
            <w:tabs>
              <w:tab w:val="left" w:pos="840"/>
              <w:tab w:val="right" w:leader="dot" w:pos="9344"/>
            </w:tabs>
            <w:rPr>
              <w:rFonts w:asciiTheme="minorHAnsi" w:hAnsiTheme="minorHAnsi" w:eastAsiaTheme="minorEastAsia" w:cstheme="minorBidi"/>
              <w:sz w:val="21"/>
              <w:szCs w:val="22"/>
            </w:rPr>
          </w:pPr>
          <w:r>
            <w:fldChar w:fldCharType="begin"/>
          </w:r>
          <w:r>
            <w:instrText xml:space="preserve"> HYPERLINK \l "_Toc23165132" </w:instrText>
          </w:r>
          <w:r>
            <w:fldChar w:fldCharType="separate"/>
          </w:r>
          <w:r>
            <w:rPr>
              <w:rStyle w:val="29"/>
              <w:rFonts w:ascii="宋体" w:hAnsi="宋体"/>
            </w:rPr>
            <w:t>2.</w:t>
          </w:r>
          <w:r>
            <w:rPr>
              <w:rFonts w:asciiTheme="minorHAnsi" w:hAnsiTheme="minorHAnsi" w:eastAsiaTheme="minorEastAsia" w:cstheme="minorBidi"/>
              <w:sz w:val="21"/>
              <w:szCs w:val="22"/>
            </w:rPr>
            <w:tab/>
          </w:r>
          <w:r>
            <w:rPr>
              <w:rStyle w:val="29"/>
              <w:rFonts w:ascii="宋体" w:hAnsi="宋体" w:cs="宋体"/>
            </w:rPr>
            <w:t>基本要求</w:t>
          </w:r>
          <w:r>
            <w:tab/>
          </w:r>
          <w:r>
            <w:fldChar w:fldCharType="begin"/>
          </w:r>
          <w:r>
            <w:instrText xml:space="preserve"> PAGEREF _Toc23165132 \h </w:instrText>
          </w:r>
          <w:r>
            <w:fldChar w:fldCharType="separate"/>
          </w:r>
          <w:r>
            <w:t>4</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"_Toc23165133" </w:instrText>
          </w:r>
          <w:r>
            <w:fldChar w:fldCharType="separate"/>
          </w:r>
          <w:r>
            <w:rPr>
              <w:rStyle w:val="29"/>
              <w:rFonts w:ascii="宋体" w:hAnsi="宋体" w:cs="宋体"/>
            </w:rPr>
            <w:t>2.1.</w:t>
          </w:r>
          <w:r>
            <w:rPr>
              <w:rFonts w:asciiTheme="minorHAnsi" w:hAnsiTheme="minorHAnsi" w:eastAsiaTheme="minorEastAsia" w:cstheme="minorBidi"/>
              <w:sz w:val="21"/>
              <w:szCs w:val="22"/>
            </w:rPr>
            <w:tab/>
          </w:r>
          <w:r>
            <w:rPr>
              <w:rStyle w:val="29"/>
              <w:rFonts w:ascii="宋体" w:hAnsi="宋体" w:cs="宋体"/>
            </w:rPr>
            <w:t>法规指南</w:t>
          </w:r>
          <w:r>
            <w:tab/>
          </w:r>
          <w:r>
            <w:fldChar w:fldCharType="begin"/>
          </w:r>
          <w:r>
            <w:instrText xml:space="preserve"> PAGEREF _Toc23165133 \h </w:instrText>
          </w:r>
          <w:r>
            <w:fldChar w:fldCharType="separate"/>
          </w:r>
          <w:r>
            <w:t>4</w:t>
          </w:r>
          <w:r>
            <w:fldChar w:fldCharType="end"/>
          </w:r>
          <w:r>
            <w:fldChar w:fldCharType="end"/>
          </w:r>
        </w:p>
        <w:p>
          <w:pPr>
            <w:pStyle w:val="15"/>
            <w:tabs>
              <w:tab w:val="left" w:pos="840"/>
              <w:tab w:val="right" w:leader="dot" w:pos="9344"/>
            </w:tabs>
            <w:rPr>
              <w:rFonts w:asciiTheme="minorHAnsi" w:hAnsiTheme="minorHAnsi" w:eastAsiaTheme="minorEastAsia" w:cstheme="minorBidi"/>
              <w:sz w:val="21"/>
              <w:szCs w:val="22"/>
            </w:rPr>
          </w:pPr>
          <w:r>
            <w:fldChar w:fldCharType="begin"/>
          </w:r>
          <w:r>
            <w:instrText xml:space="preserve"> HYPERLINK \l "_Toc23165134" </w:instrText>
          </w:r>
          <w:r>
            <w:fldChar w:fldCharType="separate"/>
          </w:r>
          <w:r>
            <w:rPr>
              <w:rStyle w:val="29"/>
              <w:rFonts w:ascii="宋体" w:hAnsi="宋体"/>
            </w:rPr>
            <w:t>3.</w:t>
          </w:r>
          <w:r>
            <w:rPr>
              <w:rFonts w:asciiTheme="minorHAnsi" w:hAnsiTheme="minorHAnsi" w:eastAsiaTheme="minorEastAsia" w:cstheme="minorBidi"/>
              <w:sz w:val="21"/>
              <w:szCs w:val="22"/>
            </w:rPr>
            <w:tab/>
          </w:r>
          <w:r>
            <w:rPr>
              <w:rStyle w:val="29"/>
              <w:rFonts w:ascii="宋体" w:hAnsi="宋体"/>
            </w:rPr>
            <w:t>项目介绍</w:t>
          </w:r>
          <w:r>
            <w:tab/>
          </w:r>
          <w:r>
            <w:fldChar w:fldCharType="begin"/>
          </w:r>
          <w:r>
            <w:instrText xml:space="preserve"> PAGEREF _Toc23165134 \h </w:instrText>
          </w:r>
          <w:r>
            <w:fldChar w:fldCharType="separate"/>
          </w:r>
          <w:r>
            <w:t>5</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"_Toc23165135" </w:instrText>
          </w:r>
          <w:r>
            <w:fldChar w:fldCharType="separate"/>
          </w:r>
          <w:r>
            <w:rPr>
              <w:rStyle w:val="29"/>
              <w:rFonts w:ascii="宋体" w:hAnsi="宋体"/>
            </w:rPr>
            <w:t>3.1.</w:t>
          </w:r>
          <w:r>
            <w:rPr>
              <w:rFonts w:asciiTheme="minorHAnsi" w:hAnsiTheme="minorHAnsi" w:eastAsiaTheme="minorEastAsia" w:cstheme="minorBidi"/>
              <w:sz w:val="21"/>
              <w:szCs w:val="22"/>
            </w:rPr>
            <w:tab/>
          </w:r>
          <w:r>
            <w:rPr>
              <w:rStyle w:val="29"/>
              <w:rFonts w:ascii="宋体" w:hAnsi="宋体"/>
            </w:rPr>
            <w:t>项目描述</w:t>
          </w:r>
          <w:r>
            <w:tab/>
          </w:r>
          <w:r>
            <w:fldChar w:fldCharType="begin"/>
          </w:r>
          <w:r>
            <w:instrText xml:space="preserve"> PAGEREF _Toc23165135 \h </w:instrText>
          </w:r>
          <w:r>
            <w:fldChar w:fldCharType="separate"/>
          </w:r>
          <w:r>
            <w:t>5</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"_Toc23165136" </w:instrText>
          </w:r>
          <w:r>
            <w:fldChar w:fldCharType="separate"/>
          </w:r>
          <w:r>
            <w:rPr>
              <w:rStyle w:val="29"/>
              <w:rFonts w:ascii="宋体" w:hAnsi="宋体"/>
            </w:rPr>
            <w:t>3.2.</w:t>
          </w:r>
          <w:r>
            <w:rPr>
              <w:rFonts w:asciiTheme="minorHAnsi" w:hAnsiTheme="minorHAnsi" w:eastAsiaTheme="minorEastAsia" w:cstheme="minorBidi"/>
              <w:sz w:val="21"/>
              <w:szCs w:val="22"/>
            </w:rPr>
            <w:tab/>
          </w:r>
          <w:r>
            <w:rPr>
              <w:rStyle w:val="29"/>
              <w:rFonts w:ascii="宋体" w:hAnsi="宋体"/>
            </w:rPr>
            <w:t>设备的主要用途</w:t>
          </w:r>
          <w:r>
            <w:tab/>
          </w:r>
          <w:r>
            <w:fldChar w:fldCharType="begin"/>
          </w:r>
          <w:r>
            <w:instrText xml:space="preserve"> PAGEREF _Toc23165136 \h </w:instrText>
          </w:r>
          <w:r>
            <w:fldChar w:fldCharType="separate"/>
          </w:r>
          <w:r>
            <w:t>5</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"_Toc23165137" </w:instrText>
          </w:r>
          <w:r>
            <w:fldChar w:fldCharType="separate"/>
          </w:r>
          <w:r>
            <w:rPr>
              <w:rStyle w:val="29"/>
              <w:rFonts w:ascii="宋体" w:hAnsi="宋体"/>
            </w:rPr>
            <w:t>3.3.</w:t>
          </w:r>
          <w:r>
            <w:rPr>
              <w:rFonts w:asciiTheme="minorHAnsi" w:hAnsiTheme="minorHAnsi" w:eastAsiaTheme="minorEastAsia" w:cstheme="minorBidi"/>
              <w:sz w:val="21"/>
              <w:szCs w:val="22"/>
            </w:rPr>
            <w:tab/>
          </w:r>
          <w:r>
            <w:rPr>
              <w:rStyle w:val="29"/>
              <w:rFonts w:ascii="宋体" w:hAnsi="宋体"/>
            </w:rPr>
            <w:t>设备供货范围</w:t>
          </w:r>
          <w:r>
            <w:tab/>
          </w:r>
          <w:r>
            <w:fldChar w:fldCharType="begin"/>
          </w:r>
          <w:r>
            <w:instrText xml:space="preserve"> PAGEREF _Toc23165137 \h </w:instrText>
          </w:r>
          <w:r>
            <w:fldChar w:fldCharType="separate"/>
          </w:r>
          <w:r>
            <w:t>5</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"_Toc23165138" </w:instrText>
          </w:r>
          <w:r>
            <w:fldChar w:fldCharType="separate"/>
          </w:r>
          <w:r>
            <w:rPr>
              <w:rStyle w:val="29"/>
              <w:rFonts w:ascii="宋体" w:hAnsi="宋体"/>
            </w:rPr>
            <w:t>3.4.</w:t>
          </w:r>
          <w:r>
            <w:rPr>
              <w:rFonts w:asciiTheme="minorHAnsi" w:hAnsiTheme="minorHAnsi" w:eastAsiaTheme="minorEastAsia" w:cstheme="minorBidi"/>
              <w:sz w:val="21"/>
              <w:szCs w:val="22"/>
            </w:rPr>
            <w:tab/>
          </w:r>
          <w:r>
            <w:rPr>
              <w:rStyle w:val="29"/>
              <w:rFonts w:ascii="宋体" w:hAnsi="宋体"/>
            </w:rPr>
            <w:t>供方服务范围</w:t>
          </w:r>
          <w:r>
            <w:tab/>
          </w:r>
          <w:r>
            <w:fldChar w:fldCharType="begin"/>
          </w:r>
          <w:r>
            <w:instrText xml:space="preserve"> PAGEREF _Toc23165138 \h </w:instrText>
          </w:r>
          <w:r>
            <w:fldChar w:fldCharType="separate"/>
          </w:r>
          <w:r>
            <w:t>5</w:t>
          </w:r>
          <w:r>
            <w:fldChar w:fldCharType="end"/>
          </w:r>
          <w:r>
            <w:fldChar w:fldCharType="end"/>
          </w:r>
        </w:p>
        <w:p>
          <w:pPr>
            <w:pStyle w:val="15"/>
            <w:tabs>
              <w:tab w:val="left" w:pos="840"/>
              <w:tab w:val="right" w:leader="dot" w:pos="9344"/>
            </w:tabs>
            <w:rPr>
              <w:rFonts w:asciiTheme="minorHAnsi" w:hAnsiTheme="minorHAnsi" w:eastAsiaTheme="minorEastAsia" w:cstheme="minorBidi"/>
              <w:sz w:val="21"/>
              <w:szCs w:val="22"/>
            </w:rPr>
          </w:pPr>
          <w:r>
            <w:fldChar w:fldCharType="begin"/>
          </w:r>
          <w:r>
            <w:instrText xml:space="preserve"> HYPERLINK \l "_Toc23165139" </w:instrText>
          </w:r>
          <w:r>
            <w:fldChar w:fldCharType="separate"/>
          </w:r>
          <w:r>
            <w:rPr>
              <w:rStyle w:val="29"/>
              <w:rFonts w:ascii="宋体" w:hAnsi="宋体"/>
            </w:rPr>
            <w:t>4.</w:t>
          </w:r>
          <w:r>
            <w:rPr>
              <w:rFonts w:asciiTheme="minorHAnsi" w:hAnsiTheme="minorHAnsi" w:eastAsiaTheme="minorEastAsia" w:cstheme="minorBidi"/>
              <w:sz w:val="21"/>
              <w:szCs w:val="22"/>
            </w:rPr>
            <w:tab/>
          </w:r>
          <w:r>
            <w:rPr>
              <w:rStyle w:val="29"/>
              <w:rFonts w:ascii="宋体" w:hAnsi="宋体"/>
            </w:rPr>
            <w:t>用户及系统要求</w:t>
          </w:r>
          <w:r>
            <w:tab/>
          </w:r>
          <w:r>
            <w:fldChar w:fldCharType="begin"/>
          </w:r>
          <w:r>
            <w:instrText xml:space="preserve"> PAGEREF _Toc23165139 \h </w:instrText>
          </w:r>
          <w:r>
            <w:fldChar w:fldCharType="separate"/>
          </w:r>
          <w:r>
            <w:t>6</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"_Toc23165140" </w:instrText>
          </w:r>
          <w:r>
            <w:fldChar w:fldCharType="separate"/>
          </w:r>
          <w:r>
            <w:rPr>
              <w:rStyle w:val="29"/>
              <w:rFonts w:ascii="宋体" w:hAnsi="宋体"/>
              <w:bCs/>
              <w:kern w:val="44"/>
            </w:rPr>
            <w:t>4.1.</w:t>
          </w:r>
          <w:r>
            <w:rPr>
              <w:rFonts w:asciiTheme="minorHAnsi" w:hAnsiTheme="minorHAnsi" w:eastAsiaTheme="minorEastAsia" w:cstheme="minorBidi"/>
              <w:sz w:val="21"/>
              <w:szCs w:val="22"/>
            </w:rPr>
            <w:tab/>
          </w:r>
          <w:r>
            <w:rPr>
              <w:rStyle w:val="29"/>
              <w:rFonts w:ascii="宋体" w:hAnsi="宋体" w:cs="Arial"/>
              <w:bCs/>
            </w:rPr>
            <w:t>设备性能要求</w:t>
          </w:r>
          <w:r>
            <w:tab/>
          </w:r>
          <w:r>
            <w:fldChar w:fldCharType="begin"/>
          </w:r>
          <w:r>
            <w:instrText xml:space="preserve"> PAGEREF _Toc23165140 \h </w:instrText>
          </w:r>
          <w:r>
            <w:fldChar w:fldCharType="separate"/>
          </w:r>
          <w:r>
            <w:t>6</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"_Toc23165141" </w:instrText>
          </w:r>
          <w:r>
            <w:fldChar w:fldCharType="separate"/>
          </w:r>
          <w:r>
            <w:rPr>
              <w:rStyle w:val="29"/>
              <w:rFonts w:ascii="宋体" w:hAnsi="宋体"/>
              <w:bCs/>
              <w:kern w:val="44"/>
            </w:rPr>
            <w:t>4.2.</w:t>
          </w:r>
          <w:r>
            <w:rPr>
              <w:rFonts w:asciiTheme="minorHAnsi" w:hAnsiTheme="minorHAnsi" w:eastAsiaTheme="minorEastAsia" w:cstheme="minorBidi"/>
              <w:sz w:val="21"/>
              <w:szCs w:val="22"/>
            </w:rPr>
            <w:tab/>
          </w:r>
          <w:r>
            <w:rPr>
              <w:rStyle w:val="29"/>
              <w:rFonts w:ascii="宋体" w:hAnsi="宋体"/>
            </w:rPr>
            <w:t>厂房设施及公用系统要求</w:t>
          </w:r>
          <w:r>
            <w:tab/>
          </w:r>
          <w:r>
            <w:fldChar w:fldCharType="begin"/>
          </w:r>
          <w:r>
            <w:instrText xml:space="preserve"> PAGEREF _Toc23165141 \h </w:instrText>
          </w:r>
          <w:r>
            <w:fldChar w:fldCharType="separate"/>
          </w:r>
          <w:r>
            <w:t>8</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"_Toc23165142" </w:instrText>
          </w:r>
          <w:r>
            <w:fldChar w:fldCharType="separate"/>
          </w:r>
          <w:r>
            <w:rPr>
              <w:rStyle w:val="29"/>
              <w:rFonts w:ascii="宋体" w:hAnsi="宋体"/>
            </w:rPr>
            <w:t>4.3.</w:t>
          </w:r>
          <w:r>
            <w:rPr>
              <w:rFonts w:asciiTheme="minorHAnsi" w:hAnsiTheme="minorHAnsi" w:eastAsiaTheme="minorEastAsia" w:cstheme="minorBidi"/>
              <w:sz w:val="21"/>
              <w:szCs w:val="22"/>
            </w:rPr>
            <w:tab/>
          </w:r>
          <w:r>
            <w:rPr>
              <w:rStyle w:val="29"/>
              <w:rFonts w:ascii="宋体" w:hAnsi="宋体"/>
            </w:rPr>
            <w:t>设备机械部分、系统、部件和外观的要求</w:t>
          </w:r>
          <w:r>
            <w:tab/>
          </w:r>
          <w:r>
            <w:fldChar w:fldCharType="begin"/>
          </w:r>
          <w:r>
            <w:instrText xml:space="preserve"> PAGEREF _Toc23165142 \h </w:instrText>
          </w:r>
          <w:r>
            <w:fldChar w:fldCharType="separate"/>
          </w:r>
          <w:r>
            <w:t>8</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"_Toc23165143" </w:instrText>
          </w:r>
          <w:r>
            <w:fldChar w:fldCharType="separate"/>
          </w:r>
          <w:r>
            <w:rPr>
              <w:rStyle w:val="29"/>
              <w:rFonts w:ascii="宋体" w:hAnsi="宋体"/>
            </w:rPr>
            <w:t>4.4.</w:t>
          </w:r>
          <w:r>
            <w:rPr>
              <w:rFonts w:asciiTheme="minorHAnsi" w:hAnsiTheme="minorHAnsi" w:eastAsiaTheme="minorEastAsia" w:cstheme="minorBidi"/>
              <w:sz w:val="21"/>
              <w:szCs w:val="22"/>
            </w:rPr>
            <w:tab/>
          </w:r>
          <w:r>
            <w:rPr>
              <w:rStyle w:val="29"/>
              <w:rFonts w:ascii="宋体" w:hAnsi="宋体"/>
            </w:rPr>
            <w:t>电气自控要求</w:t>
          </w:r>
          <w:r>
            <w:tab/>
          </w:r>
          <w:r>
            <w:fldChar w:fldCharType="begin"/>
          </w:r>
          <w:r>
            <w:instrText xml:space="preserve"> PAGEREF _Toc23165143 \h </w:instrText>
          </w:r>
          <w:r>
            <w:fldChar w:fldCharType="separate"/>
          </w:r>
          <w:r>
            <w:t>9</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"_Toc23165144" </w:instrText>
          </w:r>
          <w:r>
            <w:fldChar w:fldCharType="separate"/>
          </w:r>
          <w:r>
            <w:rPr>
              <w:rStyle w:val="29"/>
              <w:rFonts w:ascii="宋体" w:hAnsi="宋体"/>
            </w:rPr>
            <w:t>4.5.</w:t>
          </w:r>
          <w:r>
            <w:rPr>
              <w:rFonts w:asciiTheme="minorHAnsi" w:hAnsiTheme="minorHAnsi" w:eastAsiaTheme="minorEastAsia" w:cstheme="minorBidi"/>
              <w:sz w:val="21"/>
              <w:szCs w:val="22"/>
            </w:rPr>
            <w:tab/>
          </w:r>
          <w:r>
            <w:rPr>
              <w:rStyle w:val="29"/>
              <w:rFonts w:ascii="宋体" w:hAnsi="宋体"/>
            </w:rPr>
            <w:t>QA要求</w:t>
          </w:r>
          <w:r>
            <w:tab/>
          </w:r>
          <w:r>
            <w:fldChar w:fldCharType="begin"/>
          </w:r>
          <w:r>
            <w:instrText xml:space="preserve"> PAGEREF _Toc23165144 \h </w:instrText>
          </w:r>
          <w:r>
            <w:fldChar w:fldCharType="separate"/>
          </w:r>
          <w:r>
            <w:t>11</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"_Toc23165145" </w:instrText>
          </w:r>
          <w:r>
            <w:fldChar w:fldCharType="separate"/>
          </w:r>
          <w:r>
            <w:rPr>
              <w:rStyle w:val="29"/>
              <w:rFonts w:ascii="宋体" w:hAnsi="宋体"/>
            </w:rPr>
            <w:t>4.6.</w:t>
          </w:r>
          <w:r>
            <w:rPr>
              <w:rFonts w:asciiTheme="minorHAnsi" w:hAnsiTheme="minorHAnsi" w:eastAsiaTheme="minorEastAsia" w:cstheme="minorBidi"/>
              <w:sz w:val="21"/>
              <w:szCs w:val="22"/>
            </w:rPr>
            <w:tab/>
          </w:r>
          <w:r>
            <w:rPr>
              <w:rStyle w:val="29"/>
              <w:rFonts w:ascii="宋体" w:hAnsi="宋体"/>
            </w:rPr>
            <w:t>RAM要求</w:t>
          </w:r>
          <w:r>
            <w:tab/>
          </w:r>
          <w:r>
            <w:fldChar w:fldCharType="begin"/>
          </w:r>
          <w:r>
            <w:instrText xml:space="preserve"> PAGEREF _Toc23165145 \h </w:instrText>
          </w:r>
          <w:r>
            <w:fldChar w:fldCharType="separate"/>
          </w:r>
          <w:r>
            <w:t>11</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"_Toc23165146" </w:instrText>
          </w:r>
          <w:r>
            <w:fldChar w:fldCharType="separate"/>
          </w:r>
          <w:r>
            <w:rPr>
              <w:rStyle w:val="29"/>
              <w:rFonts w:ascii="宋体" w:hAnsi="宋体"/>
            </w:rPr>
            <w:t>4.7.</w:t>
          </w:r>
          <w:r>
            <w:rPr>
              <w:rFonts w:asciiTheme="minorHAnsi" w:hAnsiTheme="minorHAnsi" w:eastAsiaTheme="minorEastAsia" w:cstheme="minorBidi"/>
              <w:sz w:val="21"/>
              <w:szCs w:val="22"/>
            </w:rPr>
            <w:tab/>
          </w:r>
          <w:r>
            <w:rPr>
              <w:rStyle w:val="29"/>
              <w:rFonts w:ascii="宋体" w:hAnsi="宋体"/>
            </w:rPr>
            <w:t>EHS要求：</w:t>
          </w:r>
          <w:r>
            <w:tab/>
          </w:r>
          <w:r>
            <w:fldChar w:fldCharType="begin"/>
          </w:r>
          <w:r>
            <w:instrText xml:space="preserve"> PAGEREF _Toc23165146 \h </w:instrText>
          </w:r>
          <w:r>
            <w:fldChar w:fldCharType="separate"/>
          </w:r>
          <w:r>
            <w:t>11</w:t>
          </w:r>
          <w:r>
            <w:fldChar w:fldCharType="end"/>
          </w:r>
          <w:r>
            <w:fldChar w:fldCharType="end"/>
          </w:r>
        </w:p>
        <w:p>
          <w:pPr>
            <w:pStyle w:val="15"/>
            <w:tabs>
              <w:tab w:val="left" w:pos="840"/>
              <w:tab w:val="right" w:leader="dot" w:pos="9344"/>
            </w:tabs>
            <w:rPr>
              <w:rFonts w:asciiTheme="minorHAnsi" w:hAnsiTheme="minorHAnsi" w:eastAsiaTheme="minorEastAsia" w:cstheme="minorBidi"/>
              <w:sz w:val="21"/>
              <w:szCs w:val="22"/>
            </w:rPr>
          </w:pPr>
          <w:r>
            <w:fldChar w:fldCharType="begin"/>
          </w:r>
          <w:r>
            <w:instrText xml:space="preserve"> HYPERLINK \l "_Toc23165147" </w:instrText>
          </w:r>
          <w:r>
            <w:fldChar w:fldCharType="separate"/>
          </w:r>
          <w:r>
            <w:rPr>
              <w:rStyle w:val="29"/>
              <w:rFonts w:ascii="宋体" w:hAnsi="宋体"/>
            </w:rPr>
            <w:t>5.</w:t>
          </w:r>
          <w:r>
            <w:rPr>
              <w:rFonts w:asciiTheme="minorHAnsi" w:hAnsiTheme="minorHAnsi" w:eastAsiaTheme="minorEastAsia" w:cstheme="minorBidi"/>
              <w:sz w:val="21"/>
              <w:szCs w:val="22"/>
            </w:rPr>
            <w:tab/>
          </w:r>
          <w:r>
            <w:rPr>
              <w:rStyle w:val="29"/>
              <w:rFonts w:ascii="宋体" w:hAnsi="宋体"/>
            </w:rPr>
            <w:t>服务要求</w:t>
          </w:r>
          <w:r>
            <w:tab/>
          </w:r>
          <w:r>
            <w:fldChar w:fldCharType="begin"/>
          </w:r>
          <w:r>
            <w:instrText xml:space="preserve"> PAGEREF _Toc23165147 \h </w:instrText>
          </w:r>
          <w:r>
            <w:fldChar w:fldCharType="separate"/>
          </w:r>
          <w:r>
            <w:t>11</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"_Toc23165148" </w:instrText>
          </w:r>
          <w:r>
            <w:fldChar w:fldCharType="separate"/>
          </w:r>
          <w:r>
            <w:rPr>
              <w:rStyle w:val="29"/>
              <w:rFonts w:ascii="宋体" w:hAnsi="宋体"/>
            </w:rPr>
            <w:t>5.1.</w:t>
          </w:r>
          <w:r>
            <w:rPr>
              <w:rFonts w:asciiTheme="minorHAnsi" w:hAnsiTheme="minorHAnsi" w:eastAsiaTheme="minorEastAsia" w:cstheme="minorBidi"/>
              <w:sz w:val="21"/>
              <w:szCs w:val="22"/>
            </w:rPr>
            <w:tab/>
          </w:r>
          <w:r>
            <w:rPr>
              <w:rStyle w:val="29"/>
              <w:rFonts w:ascii="宋体" w:hAnsi="宋体"/>
            </w:rPr>
            <w:t>包装运输要求</w:t>
          </w:r>
          <w:r>
            <w:tab/>
          </w:r>
          <w:r>
            <w:fldChar w:fldCharType="begin"/>
          </w:r>
          <w:r>
            <w:instrText xml:space="preserve"> PAGEREF _Toc23165148 \h </w:instrText>
          </w:r>
          <w:r>
            <w:fldChar w:fldCharType="separate"/>
          </w:r>
          <w:r>
            <w:t>11</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"_Toc23165149" </w:instrText>
          </w:r>
          <w:r>
            <w:fldChar w:fldCharType="separate"/>
          </w:r>
          <w:r>
            <w:rPr>
              <w:rStyle w:val="29"/>
              <w:rFonts w:ascii="宋体" w:hAnsi="宋体"/>
            </w:rPr>
            <w:t>5.2.</w:t>
          </w:r>
          <w:r>
            <w:rPr>
              <w:rFonts w:asciiTheme="minorHAnsi" w:hAnsiTheme="minorHAnsi" w:eastAsiaTheme="minorEastAsia" w:cstheme="minorBidi"/>
              <w:sz w:val="21"/>
              <w:szCs w:val="22"/>
            </w:rPr>
            <w:tab/>
          </w:r>
          <w:r>
            <w:rPr>
              <w:rStyle w:val="29"/>
              <w:rFonts w:ascii="宋体" w:hAnsi="宋体"/>
            </w:rPr>
            <w:t>文件资料要求</w:t>
          </w:r>
          <w:r>
            <w:tab/>
          </w:r>
          <w:r>
            <w:fldChar w:fldCharType="begin"/>
          </w:r>
          <w:r>
            <w:instrText xml:space="preserve"> PAGEREF _Toc23165149 \h </w:instrText>
          </w:r>
          <w:r>
            <w:fldChar w:fldCharType="separate"/>
          </w:r>
          <w:r>
            <w:t>12</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"_Toc23165150" </w:instrText>
          </w:r>
          <w:r>
            <w:fldChar w:fldCharType="separate"/>
          </w:r>
          <w:r>
            <w:rPr>
              <w:rStyle w:val="29"/>
              <w:rFonts w:ascii="宋体" w:hAnsi="宋体"/>
            </w:rPr>
            <w:t>5.3.</w:t>
          </w:r>
          <w:r>
            <w:rPr>
              <w:rFonts w:asciiTheme="minorHAnsi" w:hAnsiTheme="minorHAnsi" w:eastAsiaTheme="minorEastAsia" w:cstheme="minorBidi"/>
              <w:sz w:val="21"/>
              <w:szCs w:val="22"/>
            </w:rPr>
            <w:tab/>
          </w:r>
          <w:r>
            <w:rPr>
              <w:rStyle w:val="29"/>
              <w:rFonts w:ascii="宋体" w:hAnsi="宋体"/>
            </w:rPr>
            <w:t>备品零件要求:</w:t>
          </w:r>
          <w:r>
            <w:tab/>
          </w:r>
          <w:r>
            <w:fldChar w:fldCharType="begin"/>
          </w:r>
          <w:r>
            <w:instrText xml:space="preserve"> PAGEREF _Toc23165150 \h </w:instrText>
          </w:r>
          <w:r>
            <w:fldChar w:fldCharType="separate"/>
          </w:r>
          <w:r>
            <w:t>13</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"_Toc23165151" </w:instrText>
          </w:r>
          <w:r>
            <w:fldChar w:fldCharType="separate"/>
          </w:r>
          <w:r>
            <w:rPr>
              <w:rStyle w:val="29"/>
              <w:rFonts w:ascii="宋体" w:hAnsi="宋体"/>
            </w:rPr>
            <w:t>5.4.</w:t>
          </w:r>
          <w:r>
            <w:rPr>
              <w:rFonts w:asciiTheme="minorHAnsi" w:hAnsiTheme="minorHAnsi" w:eastAsiaTheme="minorEastAsia" w:cstheme="minorBidi"/>
              <w:sz w:val="21"/>
              <w:szCs w:val="22"/>
            </w:rPr>
            <w:tab/>
          </w:r>
          <w:r>
            <w:rPr>
              <w:rStyle w:val="29"/>
              <w:rFonts w:ascii="宋体" w:hAnsi="宋体"/>
            </w:rPr>
            <w:t>安装调试要求：</w:t>
          </w:r>
          <w:r>
            <w:tab/>
          </w:r>
          <w:r>
            <w:fldChar w:fldCharType="begin"/>
          </w:r>
          <w:r>
            <w:instrText xml:space="preserve"> PAGEREF _Toc23165151 \h </w:instrText>
          </w:r>
          <w:r>
            <w:fldChar w:fldCharType="separate"/>
          </w:r>
          <w:r>
            <w:t>13</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"_Toc23165152" </w:instrText>
          </w:r>
          <w:r>
            <w:fldChar w:fldCharType="separate"/>
          </w:r>
          <w:r>
            <w:rPr>
              <w:rStyle w:val="29"/>
              <w:rFonts w:ascii="宋体" w:hAnsi="宋体"/>
            </w:rPr>
            <w:t>5.5.</w:t>
          </w:r>
          <w:r>
            <w:rPr>
              <w:rFonts w:asciiTheme="minorHAnsi" w:hAnsiTheme="minorHAnsi" w:eastAsiaTheme="minorEastAsia" w:cstheme="minorBidi"/>
              <w:sz w:val="21"/>
              <w:szCs w:val="22"/>
            </w:rPr>
            <w:tab/>
          </w:r>
          <w:r>
            <w:rPr>
              <w:rStyle w:val="29"/>
              <w:rFonts w:ascii="宋体" w:hAnsi="宋体"/>
            </w:rPr>
            <w:t>SAT要求</w:t>
          </w:r>
          <w:r>
            <w:tab/>
          </w:r>
          <w:r>
            <w:fldChar w:fldCharType="begin"/>
          </w:r>
          <w:r>
            <w:instrText xml:space="preserve"> PAGEREF _Toc23165152 \h </w:instrText>
          </w:r>
          <w:r>
            <w:fldChar w:fldCharType="separate"/>
          </w:r>
          <w:r>
            <w:t>13</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"_Toc23165153" </w:instrText>
          </w:r>
          <w:r>
            <w:fldChar w:fldCharType="separate"/>
          </w:r>
          <w:r>
            <w:rPr>
              <w:rStyle w:val="29"/>
              <w:rFonts w:ascii="宋体" w:hAnsi="宋体"/>
            </w:rPr>
            <w:t>5.6.</w:t>
          </w:r>
          <w:r>
            <w:rPr>
              <w:rFonts w:asciiTheme="minorHAnsi" w:hAnsiTheme="minorHAnsi" w:eastAsiaTheme="minorEastAsia" w:cstheme="minorBidi"/>
              <w:sz w:val="21"/>
              <w:szCs w:val="22"/>
            </w:rPr>
            <w:tab/>
          </w:r>
          <w:r>
            <w:rPr>
              <w:rStyle w:val="29"/>
              <w:rFonts w:ascii="宋体" w:hAnsi="宋体"/>
            </w:rPr>
            <w:t>培训要求</w:t>
          </w:r>
          <w:r>
            <w:tab/>
          </w:r>
          <w:r>
            <w:fldChar w:fldCharType="begin"/>
          </w:r>
          <w:r>
            <w:instrText xml:space="preserve"> PAGEREF _Toc23165153 \h </w:instrText>
          </w:r>
          <w:r>
            <w:fldChar w:fldCharType="separate"/>
          </w:r>
          <w:r>
            <w:t>13</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"_Toc23165154" </w:instrText>
          </w:r>
          <w:r>
            <w:fldChar w:fldCharType="separate"/>
          </w:r>
          <w:r>
            <w:rPr>
              <w:rStyle w:val="29"/>
              <w:rFonts w:ascii="宋体" w:hAnsi="宋体"/>
            </w:rPr>
            <w:t>5.7.</w:t>
          </w:r>
          <w:r>
            <w:rPr>
              <w:rFonts w:asciiTheme="minorHAnsi" w:hAnsiTheme="minorHAnsi" w:eastAsiaTheme="minorEastAsia" w:cstheme="minorBidi"/>
              <w:sz w:val="21"/>
              <w:szCs w:val="22"/>
            </w:rPr>
            <w:tab/>
          </w:r>
          <w:r>
            <w:rPr>
              <w:rStyle w:val="29"/>
              <w:rFonts w:ascii="宋体" w:hAnsi="宋体"/>
            </w:rPr>
            <w:t>保修要求</w:t>
          </w:r>
          <w:r>
            <w:tab/>
          </w:r>
          <w:r>
            <w:fldChar w:fldCharType="begin"/>
          </w:r>
          <w:r>
            <w:instrText xml:space="preserve"> PAGEREF _Toc23165154 \h </w:instrText>
          </w:r>
          <w:r>
            <w:fldChar w:fldCharType="separate"/>
          </w:r>
          <w:r>
            <w:t>14</w:t>
          </w:r>
          <w:r>
            <w:fldChar w:fldCharType="end"/>
          </w:r>
          <w:r>
            <w:fldChar w:fldCharType="end"/>
          </w:r>
        </w:p>
        <w:p>
          <w:pPr>
            <w:pStyle w:val="19"/>
            <w:tabs>
              <w:tab w:val="left" w:pos="1260"/>
              <w:tab w:val="right" w:leader="dot" w:pos="9344"/>
            </w:tabs>
            <w:ind w:left="480"/>
            <w:rPr>
              <w:rFonts w:asciiTheme="minorHAnsi" w:hAnsiTheme="minorHAnsi" w:eastAsiaTheme="minorEastAsia" w:cstheme="minorBidi"/>
              <w:sz w:val="21"/>
              <w:szCs w:val="22"/>
            </w:rPr>
          </w:pPr>
          <w:r>
            <w:fldChar w:fldCharType="begin"/>
          </w:r>
          <w:r>
            <w:instrText xml:space="preserve"> HYPERLINK \l "_Toc23165155" </w:instrText>
          </w:r>
          <w:r>
            <w:fldChar w:fldCharType="separate"/>
          </w:r>
          <w:r>
            <w:rPr>
              <w:rStyle w:val="29"/>
              <w:rFonts w:ascii="宋体" w:hAnsi="宋体"/>
            </w:rPr>
            <w:t>5.8.</w:t>
          </w:r>
          <w:r>
            <w:rPr>
              <w:rFonts w:asciiTheme="minorHAnsi" w:hAnsiTheme="minorHAnsi" w:eastAsiaTheme="minorEastAsia" w:cstheme="minorBidi"/>
              <w:sz w:val="21"/>
              <w:szCs w:val="22"/>
            </w:rPr>
            <w:tab/>
          </w:r>
          <w:r>
            <w:rPr>
              <w:rStyle w:val="29"/>
              <w:rFonts w:ascii="宋体" w:hAnsi="宋体"/>
            </w:rPr>
            <w:t>其它要求</w:t>
          </w:r>
          <w:r>
            <w:tab/>
          </w:r>
          <w:r>
            <w:fldChar w:fldCharType="begin"/>
          </w:r>
          <w:r>
            <w:instrText xml:space="preserve"> PAGEREF _Toc23165155 \h </w:instrText>
          </w:r>
          <w:r>
            <w:fldChar w:fldCharType="separate"/>
          </w:r>
          <w:r>
            <w:t>14</w:t>
          </w:r>
          <w:r>
            <w:fldChar w:fldCharType="end"/>
          </w:r>
          <w:r>
            <w:fldChar w:fldCharType="end"/>
          </w:r>
        </w:p>
        <w:p>
          <w:pPr>
            <w:pStyle w:val="15"/>
            <w:tabs>
              <w:tab w:val="left" w:pos="840"/>
              <w:tab w:val="right" w:leader="dot" w:pos="9344"/>
            </w:tabs>
            <w:rPr>
              <w:rFonts w:asciiTheme="minorHAnsi" w:hAnsiTheme="minorHAnsi" w:eastAsiaTheme="minorEastAsia" w:cstheme="minorBidi"/>
              <w:sz w:val="21"/>
              <w:szCs w:val="22"/>
            </w:rPr>
          </w:pPr>
          <w:r>
            <w:fldChar w:fldCharType="begin"/>
          </w:r>
          <w:r>
            <w:instrText xml:space="preserve"> HYPERLINK \l "_Toc23165156" </w:instrText>
          </w:r>
          <w:r>
            <w:fldChar w:fldCharType="separate"/>
          </w:r>
          <w:r>
            <w:rPr>
              <w:rStyle w:val="29"/>
              <w:rFonts w:ascii="宋体" w:hAnsi="宋体" w:cs="Arial"/>
            </w:rPr>
            <w:t>6.</w:t>
          </w:r>
          <w:r>
            <w:rPr>
              <w:rFonts w:asciiTheme="minorHAnsi" w:hAnsiTheme="minorHAnsi" w:eastAsiaTheme="minorEastAsia" w:cstheme="minorBidi"/>
              <w:sz w:val="21"/>
              <w:szCs w:val="22"/>
            </w:rPr>
            <w:tab/>
          </w:r>
          <w:r>
            <w:rPr>
              <w:rStyle w:val="29"/>
              <w:rFonts w:ascii="宋体" w:hAnsi="宋体" w:cs="Arial"/>
            </w:rPr>
            <w:t>术语表</w:t>
          </w:r>
          <w:r>
            <w:tab/>
          </w:r>
          <w:r>
            <w:fldChar w:fldCharType="begin"/>
          </w:r>
          <w:r>
            <w:instrText xml:space="preserve"> PAGEREF _Toc23165156 \h </w:instrText>
          </w:r>
          <w:r>
            <w:fldChar w:fldCharType="separate"/>
          </w:r>
          <w:r>
            <w:t>14</w:t>
          </w:r>
          <w:r>
            <w:fldChar w:fldCharType="end"/>
          </w:r>
          <w:r>
            <w:fldChar w:fldCharType="end"/>
          </w:r>
        </w:p>
        <w:p>
          <w:pPr>
            <w:spacing w:line="360" w:lineRule="auto"/>
            <w:rPr>
              <w:rFonts w:ascii="宋体" w:hAnsi="宋体"/>
            </w:rPr>
          </w:pPr>
          <w:r>
            <w:rPr>
              <w:rFonts w:ascii="宋体" w:hAnsi="宋体"/>
            </w:rPr>
            <w:fldChar w:fldCharType="end"/>
          </w:r>
        </w:p>
      </w:sdtContent>
    </w:sdt>
    <w:p>
      <w:pPr>
        <w:pStyle w:val="67"/>
        <w:tabs>
          <w:tab w:val="right" w:leader="dot" w:pos="9354"/>
        </w:tabs>
        <w:spacing w:line="360" w:lineRule="auto"/>
        <w:rPr>
          <w:rFonts w:ascii="宋体" w:hAnsi="宋体"/>
          <w:sz w:val="24"/>
          <w:szCs w:val="24"/>
        </w:rPr>
      </w:pPr>
      <w:r>
        <w:rPr>
          <w:rFonts w:ascii="宋体" w:hAnsi="宋体"/>
          <w:sz w:val="24"/>
          <w:szCs w:val="24"/>
        </w:rPr>
        <w:br w:type="page"/>
      </w:r>
      <w:bookmarkStart w:id="0" w:name="_Toc8051"/>
      <w:bookmarkStart w:id="1" w:name="_Toc388275789"/>
      <w:bookmarkStart w:id="2" w:name="_Toc394050853"/>
      <w:bookmarkStart w:id="3" w:name="_Toc31043"/>
      <w:bookmarkStart w:id="4" w:name="_Toc398735237"/>
    </w:p>
    <w:bookmarkEnd w:id="0"/>
    <w:bookmarkEnd w:id="1"/>
    <w:bookmarkEnd w:id="2"/>
    <w:bookmarkEnd w:id="3"/>
    <w:bookmarkEnd w:id="4"/>
    <w:p>
      <w:pPr>
        <w:pStyle w:val="2"/>
        <w:numPr>
          <w:ilvl w:val="0"/>
          <w:numId w:val="3"/>
        </w:numPr>
        <w:rPr>
          <w:rFonts w:ascii="宋体" w:hAnsi="宋体"/>
        </w:rPr>
      </w:pPr>
      <w:bookmarkStart w:id="5" w:name="_Toc23165128"/>
      <w:r>
        <w:rPr>
          <w:rFonts w:hint="eastAsia" w:ascii="宋体" w:hAnsi="宋体"/>
        </w:rPr>
        <w:t>综述</w:t>
      </w:r>
      <w:bookmarkEnd w:id="5"/>
    </w:p>
    <w:p>
      <w:pPr>
        <w:pStyle w:val="3"/>
        <w:rPr>
          <w:rFonts w:ascii="宋体" w:hAnsi="宋体" w:cs="宋体"/>
          <w:szCs w:val="21"/>
        </w:rPr>
      </w:pPr>
      <w:bookmarkStart w:id="6" w:name="_Toc16319_WPSOffice_Level2"/>
      <w:bookmarkStart w:id="7" w:name="_Toc24823"/>
      <w:bookmarkStart w:id="8" w:name="_Toc175049529"/>
      <w:r>
        <w:rPr>
          <w:rFonts w:hint="eastAsia" w:ascii="宋体" w:hAnsi="宋体" w:cs="宋体"/>
          <w:szCs w:val="21"/>
        </w:rPr>
        <w:t xml:space="preserve"> </w:t>
      </w:r>
      <w:bookmarkStart w:id="9" w:name="_Toc23165129"/>
      <w:r>
        <w:rPr>
          <w:rFonts w:hint="eastAsia" w:ascii="宋体" w:hAnsi="宋体" w:cs="宋体"/>
          <w:szCs w:val="21"/>
        </w:rPr>
        <w:t>用途</w:t>
      </w:r>
      <w:bookmarkEnd w:id="6"/>
      <w:bookmarkEnd w:id="7"/>
      <w:bookmarkEnd w:id="9"/>
    </w:p>
    <w:p>
      <w:pPr>
        <w:spacing w:line="300" w:lineRule="auto"/>
        <w:ind w:firstLine="480" w:firstLineChars="200"/>
        <w:rPr>
          <w:rFonts w:ascii="宋体" w:hAnsi="宋体" w:cs="宋体"/>
          <w:szCs w:val="21"/>
        </w:rPr>
      </w:pPr>
      <w:r>
        <w:rPr>
          <w:rFonts w:hint="eastAsia" w:ascii="宋体" w:hAnsi="宋体" w:cs="宋体"/>
          <w:szCs w:val="21"/>
        </w:rPr>
        <w:t>本文件是</w:t>
      </w:r>
      <w:r>
        <w:rPr>
          <w:rFonts w:hint="eastAsia" w:ascii="宋体" w:hAnsi="宋体" w:cs="宋体"/>
          <w:szCs w:val="21"/>
          <w:lang w:val="en-US" w:eastAsia="zh-CN"/>
        </w:rPr>
        <w:t xml:space="preserve"> </w:t>
      </w:r>
      <w:r>
        <w:rPr>
          <w:rFonts w:hint="eastAsia" w:ascii="宋体" w:hAnsi="宋体" w:cs="宋体"/>
          <w:szCs w:val="21"/>
        </w:rPr>
        <w:t>为其小容量注射剂</w:t>
      </w:r>
      <w:r>
        <w:rPr>
          <w:rFonts w:hint="eastAsia" w:ascii="宋体" w:hAnsi="宋体" w:cs="宋体"/>
          <w:szCs w:val="21"/>
          <w:lang w:eastAsia="zh-CN"/>
        </w:rPr>
        <w:t>二</w:t>
      </w:r>
      <w:r>
        <w:rPr>
          <w:rFonts w:hint="eastAsia" w:ascii="宋体" w:hAnsi="宋体" w:cs="宋体"/>
          <w:szCs w:val="21"/>
        </w:rPr>
        <w:t>车间放电检漏机而编写的用户需求标准。</w:t>
      </w:r>
    </w:p>
    <w:p>
      <w:pPr>
        <w:pStyle w:val="10"/>
        <w:spacing w:before="100" w:beforeAutospacing="1" w:after="100" w:afterAutospacing="1" w:line="300" w:lineRule="auto"/>
        <w:ind w:firstLine="480" w:firstLineChars="200"/>
        <w:rPr>
          <w:rFonts w:hAnsi="宋体" w:cs="宋体"/>
          <w:sz w:val="24"/>
          <w:szCs w:val="21"/>
        </w:rPr>
      </w:pPr>
      <w:r>
        <w:rPr>
          <w:rFonts w:hint="eastAsia" w:hAnsi="宋体" w:cs="宋体"/>
          <w:sz w:val="24"/>
          <w:szCs w:val="21"/>
        </w:rPr>
        <w:t>该文件对小容量注射剂车间放电检漏机设计、制造技术及功能特性做出了一般性要求，以确保该设备设计和制造符合新版</w:t>
      </w:r>
      <w:r>
        <w:rPr>
          <w:rFonts w:hint="eastAsia" w:hAnsi="宋体"/>
          <w:kern w:val="44"/>
          <w:sz w:val="24"/>
          <w:szCs w:val="21"/>
        </w:rPr>
        <w:t>GMP</w:t>
      </w:r>
      <w:r>
        <w:rPr>
          <w:rFonts w:hint="eastAsia" w:hAnsi="宋体" w:cs="宋体"/>
          <w:sz w:val="24"/>
          <w:szCs w:val="21"/>
        </w:rPr>
        <w:t>要求和公司药品生产工艺要求。同时该文件也将提供一些有用的信息和必要的建议，以便设备的设计、采购、制造、安装和验证符合预期功能要求；本文件中未列出的具体要求，以最新相关版本的法律或行业标准为依据</w:t>
      </w:r>
    </w:p>
    <w:p>
      <w:pPr>
        <w:pStyle w:val="3"/>
        <w:rPr>
          <w:rFonts w:ascii="宋体" w:hAnsi="宋体" w:cs="宋体"/>
          <w:szCs w:val="21"/>
        </w:rPr>
      </w:pPr>
      <w:bookmarkStart w:id="10" w:name="_Toc23165130"/>
      <w:bookmarkStart w:id="11" w:name="_Toc29725"/>
      <w:bookmarkStart w:id="12" w:name="_Toc4119_WPSOffice_Level2"/>
      <w:r>
        <w:rPr>
          <w:rFonts w:hint="eastAsia" w:ascii="宋体" w:hAnsi="宋体" w:cs="宋体"/>
          <w:szCs w:val="21"/>
        </w:rPr>
        <w:t>目的</w:t>
      </w:r>
      <w:bookmarkEnd w:id="10"/>
      <w:bookmarkEnd w:id="11"/>
      <w:bookmarkEnd w:id="12"/>
    </w:p>
    <w:p>
      <w:pPr>
        <w:spacing w:line="300" w:lineRule="auto"/>
        <w:ind w:firstLine="480" w:firstLineChars="200"/>
        <w:rPr>
          <w:rFonts w:ascii="宋体" w:hAnsi="宋体" w:cs="宋体"/>
          <w:szCs w:val="21"/>
        </w:rPr>
      </w:pPr>
      <w:r>
        <w:rPr>
          <w:rFonts w:hint="eastAsia" w:ascii="宋体" w:hAnsi="宋体" w:cs="宋体"/>
          <w:szCs w:val="21"/>
        </w:rPr>
        <w:t>本用户需求（以下简称</w:t>
      </w:r>
      <w:r>
        <w:rPr>
          <w:rFonts w:hint="eastAsia" w:ascii="宋体" w:hAnsi="宋体"/>
          <w:kern w:val="44"/>
          <w:szCs w:val="21"/>
        </w:rPr>
        <w:t>URS</w:t>
      </w:r>
      <w:r>
        <w:rPr>
          <w:rFonts w:hint="eastAsia" w:ascii="宋体" w:hAnsi="宋体" w:cs="宋体"/>
          <w:szCs w:val="21"/>
        </w:rPr>
        <w:t>）描述了放电检漏机的各种基本需求。</w:t>
      </w:r>
    </w:p>
    <w:p>
      <w:pPr>
        <w:spacing w:line="300" w:lineRule="auto"/>
        <w:ind w:firstLine="480" w:firstLineChars="200"/>
        <w:rPr>
          <w:rFonts w:ascii="宋体" w:hAnsi="宋体" w:cs="宋体"/>
          <w:szCs w:val="21"/>
        </w:rPr>
      </w:pPr>
      <w:r>
        <w:rPr>
          <w:rFonts w:hint="eastAsia" w:ascii="宋体" w:hAnsi="宋体" w:cs="宋体"/>
          <w:szCs w:val="21"/>
        </w:rPr>
        <w:t>供应商应具备设计、制造本设备的资质，熟悉制药设备设计、生产和加工制作规范和要求。</w:t>
      </w:r>
    </w:p>
    <w:p>
      <w:pPr>
        <w:pStyle w:val="10"/>
        <w:spacing w:before="100" w:beforeAutospacing="1" w:after="100" w:afterAutospacing="1" w:line="300" w:lineRule="auto"/>
        <w:ind w:firstLine="480" w:firstLineChars="200"/>
        <w:rPr>
          <w:rFonts w:hAnsi="宋体" w:cs="宋体"/>
          <w:sz w:val="24"/>
          <w:szCs w:val="21"/>
        </w:rPr>
      </w:pPr>
      <w:bookmarkStart w:id="13" w:name="_2._Scope范围"/>
      <w:bookmarkEnd w:id="13"/>
      <w:r>
        <w:rPr>
          <w:rFonts w:hint="eastAsia" w:hAnsi="宋体" w:cs="宋体"/>
          <w:sz w:val="24"/>
          <w:szCs w:val="21"/>
        </w:rPr>
        <w:t>供应商应按照此文件进行设计、制造、检查和测试、包装、交付、安装调试、验收、培训和验证，并提供文件等，本文件作为合同的附件</w:t>
      </w:r>
    </w:p>
    <w:p>
      <w:pPr>
        <w:pStyle w:val="3"/>
        <w:rPr>
          <w:rFonts w:ascii="宋体" w:hAnsi="宋体" w:cs="宋体"/>
          <w:szCs w:val="21"/>
        </w:rPr>
      </w:pPr>
      <w:bookmarkStart w:id="14" w:name="_Toc25940_WPSOffice_Level2"/>
      <w:bookmarkStart w:id="15" w:name="_Toc1369"/>
      <w:bookmarkStart w:id="16" w:name="_Toc23165131"/>
      <w:r>
        <w:rPr>
          <w:rFonts w:hint="eastAsia" w:ascii="宋体" w:hAnsi="宋体" w:cs="宋体"/>
          <w:szCs w:val="21"/>
        </w:rPr>
        <w:t>范围</w:t>
      </w:r>
      <w:bookmarkEnd w:id="14"/>
      <w:bookmarkEnd w:id="15"/>
      <w:bookmarkEnd w:id="16"/>
    </w:p>
    <w:p>
      <w:pPr>
        <w:ind w:left="11" w:firstLine="480" w:firstLineChars="200"/>
        <w:rPr>
          <w:rFonts w:ascii="宋体" w:hAnsi="宋体" w:cs="宋体"/>
          <w:szCs w:val="21"/>
        </w:rPr>
      </w:pPr>
      <w:r>
        <w:rPr>
          <w:rFonts w:hint="eastAsia" w:ascii="宋体" w:hAnsi="宋体" w:cs="宋体"/>
          <w:kern w:val="44"/>
          <w:szCs w:val="21"/>
        </w:rPr>
        <w:t>适用于小容量注射剂</w:t>
      </w:r>
      <w:r>
        <w:rPr>
          <w:rFonts w:hint="eastAsia" w:ascii="宋体" w:hAnsi="宋体" w:cs="宋体"/>
          <w:kern w:val="44"/>
          <w:szCs w:val="21"/>
          <w:lang w:eastAsia="zh-CN"/>
        </w:rPr>
        <w:t>二</w:t>
      </w:r>
      <w:r>
        <w:rPr>
          <w:rFonts w:hint="eastAsia" w:ascii="宋体" w:hAnsi="宋体" w:cs="宋体"/>
          <w:kern w:val="44"/>
          <w:szCs w:val="21"/>
        </w:rPr>
        <w:t>车间放电检漏机的用户要求。</w:t>
      </w:r>
    </w:p>
    <w:p>
      <w:pPr>
        <w:pStyle w:val="2"/>
        <w:rPr>
          <w:rFonts w:ascii="宋体" w:hAnsi="宋体"/>
          <w:szCs w:val="21"/>
        </w:rPr>
      </w:pPr>
      <w:bookmarkStart w:id="17" w:name="_Toc12635"/>
      <w:bookmarkStart w:id="18" w:name="_Toc851_WPSOffice_Level1"/>
      <w:bookmarkStart w:id="19" w:name="_Toc29915_WPSOffice_Level1"/>
      <w:bookmarkStart w:id="20" w:name="_Toc23165132"/>
      <w:r>
        <w:rPr>
          <w:rFonts w:hint="eastAsia" w:ascii="宋体" w:hAnsi="宋体" w:cs="宋体"/>
          <w:szCs w:val="21"/>
        </w:rPr>
        <w:t>基本要求</w:t>
      </w:r>
      <w:bookmarkEnd w:id="17"/>
      <w:bookmarkEnd w:id="18"/>
      <w:bookmarkEnd w:id="19"/>
      <w:bookmarkEnd w:id="20"/>
    </w:p>
    <w:p>
      <w:pPr>
        <w:pStyle w:val="3"/>
        <w:rPr>
          <w:rFonts w:ascii="宋体" w:hAnsi="宋体" w:cs="宋体"/>
          <w:szCs w:val="21"/>
        </w:rPr>
      </w:pPr>
      <w:bookmarkStart w:id="21" w:name="_Toc32690"/>
      <w:bookmarkStart w:id="22" w:name="_Toc3846"/>
      <w:bookmarkStart w:id="23" w:name="_Toc23165133"/>
      <w:bookmarkStart w:id="24" w:name="_Toc22163_WPSOffice_Level2"/>
      <w:r>
        <w:rPr>
          <w:rFonts w:hint="eastAsia" w:ascii="宋体" w:hAnsi="宋体" w:cs="宋体"/>
          <w:szCs w:val="21"/>
        </w:rPr>
        <w:t>法规指南</w:t>
      </w:r>
      <w:bookmarkEnd w:id="21"/>
      <w:bookmarkEnd w:id="22"/>
      <w:bookmarkEnd w:id="23"/>
      <w:bookmarkEnd w:id="24"/>
    </w:p>
    <w:p>
      <w:pPr>
        <w:pStyle w:val="21"/>
        <w:numPr>
          <w:ilvl w:val="0"/>
          <w:numId w:val="4"/>
        </w:numPr>
        <w:shd w:val="clear" w:color="auto" w:fill="FFFFFF"/>
        <w:spacing w:before="0" w:beforeAutospacing="0" w:after="0" w:afterAutospacing="0" w:line="300" w:lineRule="auto"/>
        <w:ind w:left="480" w:hanging="480" w:hangingChars="200"/>
        <w:rPr>
          <w:rFonts w:cs="Helvetica"/>
        </w:rPr>
      </w:pPr>
      <w:r>
        <w:rPr>
          <w:rFonts w:hint="eastAsia" w:cs="Helvetica"/>
        </w:rPr>
        <w:t>供货设备和材料在设计、制造、检查、验收、安装、使用、包装和运输等工作中应符合中华人民共和国及下列国际机构的标准和规范中的有关章节，同时还应符合所列标准和规范中隐含的其他规范和标准中的有关章节。供货商所遵循的标准与规范应为最新版本。</w:t>
      </w:r>
    </w:p>
    <w:p>
      <w:pPr>
        <w:numPr>
          <w:ilvl w:val="0"/>
          <w:numId w:val="4"/>
        </w:numPr>
        <w:spacing w:line="300" w:lineRule="auto"/>
        <w:ind w:left="480" w:hanging="480" w:hangingChars="200"/>
        <w:rPr>
          <w:rFonts w:ascii="宋体" w:hAnsi="宋体" w:cs="Arial"/>
          <w:color w:val="000000"/>
        </w:rPr>
      </w:pPr>
      <w:bookmarkStart w:id="25" w:name="_Ref450560553"/>
      <w:r>
        <w:rPr>
          <w:rFonts w:hint="eastAsia" w:ascii="宋体" w:hAnsi="宋体"/>
        </w:rPr>
        <w:t>中</w:t>
      </w:r>
      <w:r>
        <w:rPr>
          <w:rFonts w:hint="eastAsia" w:ascii="宋体" w:hAnsi="宋体" w:cs="Arial"/>
          <w:color w:val="000000"/>
        </w:rPr>
        <w:t>国</w:t>
      </w:r>
      <w:r>
        <w:rPr>
          <w:rFonts w:ascii="宋体" w:hAnsi="宋体" w:cs="Arial"/>
          <w:color w:val="000000"/>
        </w:rPr>
        <w:t>GMP</w:t>
      </w:r>
      <w:r>
        <w:rPr>
          <w:rFonts w:hint="eastAsia" w:ascii="宋体" w:hAnsi="宋体" w:cs="Arial"/>
          <w:color w:val="000000"/>
        </w:rPr>
        <w:t>（</w:t>
      </w:r>
      <w:r>
        <w:rPr>
          <w:rFonts w:ascii="宋体" w:hAnsi="宋体" w:cs="Arial"/>
          <w:color w:val="000000"/>
        </w:rPr>
        <w:t>201</w:t>
      </w:r>
      <w:r>
        <w:rPr>
          <w:rFonts w:hint="eastAsia" w:ascii="宋体" w:hAnsi="宋体" w:cs="Arial"/>
          <w:color w:val="000000"/>
        </w:rPr>
        <w:t>0年修订）及其附录</w:t>
      </w:r>
    </w:p>
    <w:p>
      <w:pPr>
        <w:numPr>
          <w:ilvl w:val="0"/>
          <w:numId w:val="4"/>
        </w:numPr>
        <w:spacing w:line="300" w:lineRule="auto"/>
        <w:ind w:left="480" w:hanging="480" w:hangingChars="200"/>
        <w:rPr>
          <w:rFonts w:ascii="宋体" w:hAnsi="宋体" w:cs="Arial"/>
        </w:rPr>
      </w:pPr>
      <w:r>
        <w:rPr>
          <w:rFonts w:hint="eastAsia" w:ascii="宋体" w:hAnsi="宋体" w:cs="Arial"/>
        </w:rPr>
        <w:t>中国药品生产验证指南</w:t>
      </w:r>
    </w:p>
    <w:p>
      <w:pPr>
        <w:numPr>
          <w:ilvl w:val="0"/>
          <w:numId w:val="4"/>
        </w:numPr>
        <w:spacing w:line="300" w:lineRule="auto"/>
        <w:ind w:left="480" w:hanging="480" w:hangingChars="200"/>
        <w:rPr>
          <w:rFonts w:ascii="宋体" w:hAnsi="宋体" w:cs="Arial"/>
        </w:rPr>
      </w:pPr>
      <w:r>
        <w:rPr>
          <w:rFonts w:ascii="宋体" w:hAnsi="宋体" w:cs="Arial"/>
        </w:rPr>
        <w:t>GEP</w:t>
      </w:r>
      <w:r>
        <w:rPr>
          <w:rFonts w:hint="eastAsia" w:ascii="宋体" w:hAnsi="宋体" w:cs="Arial"/>
        </w:rPr>
        <w:t>良好工程管理规范</w:t>
      </w:r>
    </w:p>
    <w:p>
      <w:pPr>
        <w:numPr>
          <w:ilvl w:val="0"/>
          <w:numId w:val="4"/>
        </w:numPr>
        <w:spacing w:line="300" w:lineRule="auto"/>
        <w:ind w:left="480" w:hanging="480" w:hangingChars="200"/>
        <w:rPr>
          <w:rFonts w:ascii="宋体" w:hAnsi="宋体"/>
        </w:rPr>
      </w:pPr>
      <w:r>
        <w:rPr>
          <w:rFonts w:hint="eastAsia" w:ascii="宋体" w:hAnsi="宋体"/>
        </w:rPr>
        <w:t>《中国药典》</w:t>
      </w:r>
      <w:r>
        <w:rPr>
          <w:rFonts w:ascii="宋体" w:hAnsi="宋体"/>
        </w:rPr>
        <w:t>201</w:t>
      </w:r>
      <w:r>
        <w:rPr>
          <w:rFonts w:hint="eastAsia" w:ascii="宋体" w:hAnsi="宋体"/>
        </w:rPr>
        <w:t>5年版</w:t>
      </w:r>
    </w:p>
    <w:p>
      <w:pPr>
        <w:numPr>
          <w:ilvl w:val="0"/>
          <w:numId w:val="4"/>
        </w:numPr>
        <w:spacing w:line="300" w:lineRule="auto"/>
        <w:ind w:left="480" w:hanging="480" w:hangingChars="200"/>
        <w:rPr>
          <w:rFonts w:ascii="宋体" w:hAnsi="宋体"/>
        </w:rPr>
      </w:pPr>
      <w:r>
        <w:rPr>
          <w:rFonts w:ascii="宋体" w:hAnsi="宋体"/>
        </w:rPr>
        <w:t>GB-52261-2002</w:t>
      </w:r>
      <w:r>
        <w:rPr>
          <w:rFonts w:hint="eastAsia" w:ascii="宋体" w:hAnsi="宋体" w:cs="Arial"/>
        </w:rPr>
        <w:t>机械安全机械电气设备第一部分：通用技术条件</w:t>
      </w:r>
    </w:p>
    <w:p>
      <w:pPr>
        <w:numPr>
          <w:ilvl w:val="0"/>
          <w:numId w:val="4"/>
        </w:numPr>
        <w:spacing w:line="300" w:lineRule="auto"/>
        <w:ind w:left="480" w:hanging="480" w:hangingChars="200"/>
        <w:rPr>
          <w:rFonts w:ascii="宋体" w:hAnsi="宋体"/>
        </w:rPr>
      </w:pPr>
      <w:r>
        <w:rPr>
          <w:rFonts w:ascii="宋体" w:hAnsi="宋体"/>
        </w:rPr>
        <w:t>GB-8196-87</w:t>
      </w:r>
      <w:r>
        <w:rPr>
          <w:rFonts w:hint="eastAsia" w:ascii="宋体" w:hAnsi="宋体"/>
        </w:rPr>
        <w:t>机械设计防护罩安全要求</w:t>
      </w:r>
      <w:bookmarkEnd w:id="25"/>
      <w:bookmarkStart w:id="26" w:name="_Toc35746522"/>
      <w:bookmarkEnd w:id="26"/>
      <w:bookmarkStart w:id="27" w:name="_Toc35744288"/>
      <w:bookmarkEnd w:id="27"/>
      <w:bookmarkStart w:id="28" w:name="_Toc35764266"/>
      <w:bookmarkEnd w:id="28"/>
      <w:bookmarkStart w:id="29" w:name="_Toc35745966"/>
      <w:bookmarkEnd w:id="29"/>
    </w:p>
    <w:p>
      <w:pPr>
        <w:numPr>
          <w:ilvl w:val="0"/>
          <w:numId w:val="4"/>
        </w:numPr>
        <w:spacing w:line="300" w:lineRule="auto"/>
        <w:ind w:left="480" w:hanging="480" w:hangingChars="200"/>
        <w:rPr>
          <w:rFonts w:ascii="宋体" w:hAnsi="宋体"/>
        </w:rPr>
      </w:pPr>
      <w:r>
        <w:rPr>
          <w:rFonts w:ascii="宋体" w:hAnsi="宋体" w:cs="Arial"/>
        </w:rPr>
        <w:t>TJ36-79</w:t>
      </w:r>
      <w:r>
        <w:rPr>
          <w:rFonts w:hint="eastAsia" w:ascii="宋体" w:hAnsi="宋体" w:cs="Arial"/>
        </w:rPr>
        <w:t>工业企业设计卫生标准</w:t>
      </w:r>
    </w:p>
    <w:p>
      <w:pPr>
        <w:pStyle w:val="2"/>
        <w:rPr>
          <w:rFonts w:ascii="宋体" w:hAnsi="宋体"/>
          <w:szCs w:val="21"/>
        </w:rPr>
      </w:pPr>
      <w:bookmarkStart w:id="30" w:name="_Toc7318_WPSOffice_Level1"/>
      <w:bookmarkStart w:id="31" w:name="_Toc919"/>
      <w:bookmarkStart w:id="32" w:name="_Toc32635_WPSOffice_Level1"/>
      <w:bookmarkStart w:id="33" w:name="_Toc23165134"/>
      <w:r>
        <w:rPr>
          <w:rFonts w:hint="eastAsia" w:ascii="宋体" w:hAnsi="宋体"/>
          <w:szCs w:val="21"/>
        </w:rPr>
        <w:t>项目介绍</w:t>
      </w:r>
      <w:bookmarkEnd w:id="30"/>
      <w:bookmarkEnd w:id="31"/>
      <w:bookmarkEnd w:id="32"/>
      <w:bookmarkEnd w:id="33"/>
    </w:p>
    <w:p>
      <w:pPr>
        <w:pStyle w:val="3"/>
        <w:rPr>
          <w:rFonts w:ascii="宋体" w:hAnsi="宋体"/>
        </w:rPr>
      </w:pPr>
      <w:bookmarkStart w:id="34" w:name="_Toc455407535"/>
      <w:bookmarkStart w:id="35" w:name="_Toc24164"/>
      <w:bookmarkStart w:id="36" w:name="_Toc505868210"/>
      <w:bookmarkStart w:id="37" w:name="_Toc12220_WPSOffice_Level2"/>
      <w:bookmarkStart w:id="38" w:name="_Toc268089756"/>
      <w:bookmarkStart w:id="39" w:name="_Toc23165135"/>
      <w:r>
        <w:rPr>
          <w:rFonts w:hint="eastAsia" w:ascii="宋体" w:hAnsi="宋体"/>
          <w:szCs w:val="21"/>
        </w:rPr>
        <w:t>项目描述</w:t>
      </w:r>
      <w:bookmarkEnd w:id="34"/>
      <w:bookmarkEnd w:id="35"/>
      <w:bookmarkEnd w:id="36"/>
      <w:bookmarkEnd w:id="37"/>
      <w:bookmarkEnd w:id="38"/>
      <w:bookmarkEnd w:id="39"/>
    </w:p>
    <w:p>
      <w:pPr>
        <w:pStyle w:val="18"/>
        <w:spacing w:line="300" w:lineRule="auto"/>
        <w:ind w:left="0" w:firstLine="480" w:firstLineChars="200"/>
        <w:jc w:val="left"/>
        <w:rPr>
          <w:rFonts w:ascii="宋体" w:hAnsi="宋体"/>
          <w:szCs w:val="21"/>
        </w:rPr>
      </w:pPr>
      <w:r>
        <w:rPr>
          <w:rFonts w:hint="eastAsia" w:ascii="宋体" w:hAnsi="宋体"/>
          <w:szCs w:val="21"/>
        </w:rPr>
        <w:t>该项目为本公司为</w:t>
      </w:r>
      <w:r>
        <w:rPr>
          <w:rFonts w:hint="eastAsia" w:ascii="宋体" w:hAnsi="宋体" w:cs="宋体"/>
          <w:szCs w:val="21"/>
        </w:rPr>
        <w:t>小容量注射剂</w:t>
      </w:r>
      <w:r>
        <w:rPr>
          <w:rFonts w:hint="eastAsia" w:ascii="宋体" w:hAnsi="宋体"/>
          <w:szCs w:val="21"/>
        </w:rPr>
        <w:t>车间生产所需的选购设备。</w:t>
      </w:r>
    </w:p>
    <w:p>
      <w:pPr>
        <w:pStyle w:val="18"/>
        <w:spacing w:line="300" w:lineRule="auto"/>
        <w:ind w:left="0" w:firstLine="480" w:firstLineChars="200"/>
        <w:jc w:val="left"/>
        <w:rPr>
          <w:rFonts w:ascii="宋体" w:hAnsi="宋体"/>
          <w:szCs w:val="21"/>
        </w:rPr>
      </w:pPr>
      <w:r>
        <w:rPr>
          <w:rFonts w:hint="eastAsia" w:ascii="宋体" w:hAnsi="宋体"/>
          <w:szCs w:val="21"/>
        </w:rPr>
        <w:t>该</w:t>
      </w:r>
      <w:r>
        <w:rPr>
          <w:rFonts w:ascii="宋体" w:hAnsi="宋体"/>
          <w:szCs w:val="21"/>
        </w:rPr>
        <w:t>URS</w:t>
      </w:r>
      <w:r>
        <w:rPr>
          <w:rFonts w:hint="eastAsia" w:ascii="宋体" w:hAnsi="宋体"/>
          <w:szCs w:val="21"/>
        </w:rPr>
        <w:t>应被视为与所选设备供应商签订购买合同不可缺少的一部分。设备供应商应遵守本文件所述要求，同时也应遵守我公司的标准采购程序的要求。</w:t>
      </w:r>
    </w:p>
    <w:p>
      <w:pPr>
        <w:pStyle w:val="18"/>
        <w:spacing w:line="300" w:lineRule="auto"/>
        <w:ind w:left="0" w:firstLine="480" w:firstLineChars="200"/>
        <w:jc w:val="left"/>
        <w:rPr>
          <w:rFonts w:ascii="宋体" w:hAnsi="宋体"/>
          <w:szCs w:val="21"/>
        </w:rPr>
      </w:pPr>
      <w:r>
        <w:rPr>
          <w:rFonts w:hint="eastAsia" w:ascii="宋体" w:hAnsi="宋体"/>
        </w:rPr>
        <w:t>本次共申请购买一台</w:t>
      </w:r>
      <w:r>
        <w:rPr>
          <w:rFonts w:hint="eastAsia" w:ascii="宋体" w:hAnsi="宋体" w:cs="宋体"/>
          <w:szCs w:val="21"/>
        </w:rPr>
        <w:t>放电检漏机</w:t>
      </w:r>
      <w:r>
        <w:rPr>
          <w:rFonts w:hint="eastAsia" w:ascii="宋体" w:hAnsi="宋体"/>
        </w:rPr>
        <w:t>设备，设备安装于小容量注射剂车间内。</w:t>
      </w:r>
    </w:p>
    <w:p>
      <w:pPr>
        <w:pStyle w:val="3"/>
        <w:rPr>
          <w:rFonts w:ascii="宋体" w:hAnsi="宋体"/>
          <w:szCs w:val="21"/>
        </w:rPr>
      </w:pPr>
      <w:bookmarkStart w:id="40" w:name="_Toc268089758"/>
      <w:bookmarkStart w:id="41" w:name="_Toc11263"/>
      <w:bookmarkStart w:id="42" w:name="_Toc23165136"/>
      <w:bookmarkStart w:id="43" w:name="_Toc431386171"/>
      <w:bookmarkStart w:id="44" w:name="_Toc505868211"/>
      <w:bookmarkStart w:id="45" w:name="_Toc431284229"/>
      <w:bookmarkStart w:id="46" w:name="_Toc455407537"/>
      <w:bookmarkStart w:id="47" w:name="_Toc9535_WPSOffice_Level2"/>
      <w:r>
        <w:rPr>
          <w:rFonts w:hint="eastAsia" w:ascii="宋体" w:hAnsi="宋体"/>
          <w:szCs w:val="21"/>
        </w:rPr>
        <w:t>设备的主要用途</w:t>
      </w:r>
      <w:bookmarkEnd w:id="40"/>
      <w:bookmarkEnd w:id="41"/>
      <w:bookmarkEnd w:id="42"/>
      <w:bookmarkEnd w:id="43"/>
      <w:bookmarkEnd w:id="44"/>
      <w:bookmarkEnd w:id="45"/>
      <w:bookmarkEnd w:id="46"/>
      <w:bookmarkEnd w:id="47"/>
    </w:p>
    <w:p>
      <w:pPr>
        <w:pStyle w:val="18"/>
        <w:spacing w:line="360" w:lineRule="auto"/>
        <w:ind w:left="0" w:firstLine="480" w:firstLineChars="200"/>
        <w:jc w:val="left"/>
        <w:rPr>
          <w:rFonts w:ascii="宋体" w:hAnsi="宋体"/>
        </w:rPr>
      </w:pPr>
      <w:r>
        <w:rPr>
          <w:rFonts w:hint="eastAsia" w:ascii="宋体" w:hAnsi="宋体"/>
          <w:lang w:val="de-CH"/>
        </w:rPr>
        <w:t>本设备主要用于小容量注射剂1-10ml玻璃安瓿产品的检漏</w:t>
      </w:r>
      <w:r>
        <w:rPr>
          <w:rFonts w:hint="eastAsia" w:ascii="宋体" w:hAnsi="宋体"/>
        </w:rPr>
        <w:t>。</w:t>
      </w:r>
    </w:p>
    <w:p>
      <w:pPr>
        <w:pStyle w:val="3"/>
        <w:rPr>
          <w:rFonts w:ascii="宋体" w:hAnsi="宋体"/>
          <w:szCs w:val="21"/>
        </w:rPr>
      </w:pPr>
      <w:bookmarkStart w:id="48" w:name="_Toc455407538"/>
      <w:bookmarkStart w:id="49" w:name="_Toc1237"/>
      <w:bookmarkStart w:id="50" w:name="_Toc505868212"/>
      <w:bookmarkStart w:id="51" w:name="_Toc23165137"/>
      <w:bookmarkStart w:id="52" w:name="_Toc23632_WPSOffice_Level2"/>
      <w:r>
        <w:rPr>
          <w:rFonts w:hint="eastAsia" w:ascii="宋体" w:hAnsi="宋体"/>
          <w:szCs w:val="21"/>
        </w:rPr>
        <w:t>设备供货范围</w:t>
      </w:r>
      <w:bookmarkEnd w:id="48"/>
      <w:bookmarkEnd w:id="49"/>
      <w:bookmarkEnd w:id="50"/>
      <w:bookmarkEnd w:id="51"/>
      <w:bookmarkEnd w:id="52"/>
    </w:p>
    <w:p>
      <w:pPr>
        <w:pStyle w:val="18"/>
        <w:spacing w:line="300" w:lineRule="auto"/>
        <w:ind w:left="0" w:firstLine="480" w:firstLineChars="200"/>
        <w:jc w:val="left"/>
        <w:rPr>
          <w:rFonts w:ascii="宋体" w:hAnsi="宋体"/>
          <w:szCs w:val="21"/>
        </w:rPr>
      </w:pPr>
      <w:r>
        <w:rPr>
          <w:rFonts w:hint="eastAsia" w:ascii="宋体" w:hAnsi="宋体"/>
          <w:szCs w:val="21"/>
        </w:rPr>
        <w:t>供应商提供的范围，应包括但不限于下列各部分：</w:t>
      </w:r>
    </w:p>
    <w:p>
      <w:pPr>
        <w:pStyle w:val="18"/>
        <w:spacing w:line="300" w:lineRule="auto"/>
        <w:ind w:left="0" w:firstLine="480" w:firstLineChars="200"/>
        <w:jc w:val="left"/>
        <w:rPr>
          <w:rFonts w:ascii="宋体" w:hAnsi="宋体"/>
          <w:szCs w:val="21"/>
        </w:rPr>
      </w:pPr>
      <w:r>
        <w:rPr>
          <w:rFonts w:hint="eastAsia" w:ascii="宋体" w:hAnsi="宋体"/>
          <w:szCs w:val="21"/>
        </w:rPr>
        <w:t>（1）设备主体及控制系统等。</w:t>
      </w:r>
    </w:p>
    <w:p>
      <w:pPr>
        <w:pStyle w:val="18"/>
        <w:spacing w:line="300" w:lineRule="auto"/>
        <w:ind w:left="0" w:firstLine="480" w:firstLineChars="200"/>
        <w:jc w:val="left"/>
        <w:rPr>
          <w:rFonts w:ascii="宋体" w:hAnsi="宋体"/>
          <w:szCs w:val="21"/>
        </w:rPr>
      </w:pPr>
      <w:r>
        <w:rPr>
          <w:rFonts w:hint="eastAsia" w:ascii="宋体" w:hAnsi="宋体"/>
          <w:szCs w:val="21"/>
        </w:rPr>
        <w:t>（2）设备各系统之间的附属设备以及相关技术支持。</w:t>
      </w:r>
    </w:p>
    <w:p>
      <w:pPr>
        <w:pStyle w:val="18"/>
        <w:spacing w:line="300" w:lineRule="auto"/>
        <w:ind w:left="0" w:firstLine="480" w:firstLineChars="200"/>
        <w:jc w:val="left"/>
        <w:rPr>
          <w:rFonts w:ascii="宋体" w:hAnsi="宋体"/>
          <w:szCs w:val="21"/>
        </w:rPr>
      </w:pPr>
      <w:r>
        <w:rPr>
          <w:rFonts w:hint="eastAsia" w:ascii="宋体" w:hAnsi="宋体"/>
          <w:szCs w:val="21"/>
        </w:rPr>
        <w:t>（3）设备各安全防护装置及避免楼层、墙体及周围环境受到损坏的辅助部件。</w:t>
      </w:r>
    </w:p>
    <w:p>
      <w:pPr>
        <w:pStyle w:val="3"/>
        <w:rPr>
          <w:rFonts w:ascii="宋体" w:hAnsi="宋体"/>
          <w:szCs w:val="21"/>
        </w:rPr>
      </w:pPr>
      <w:bookmarkStart w:id="53" w:name="_Toc25168"/>
      <w:bookmarkStart w:id="54" w:name="_Toc505868213"/>
      <w:bookmarkStart w:id="55" w:name="_Toc455407539"/>
      <w:bookmarkStart w:id="56" w:name="_Toc23165138"/>
      <w:bookmarkStart w:id="57" w:name="_Toc12547_WPSOffice_Level2"/>
      <w:r>
        <w:rPr>
          <w:rFonts w:hint="eastAsia" w:ascii="宋体" w:hAnsi="宋体"/>
          <w:szCs w:val="21"/>
        </w:rPr>
        <w:t>供方服务范围</w:t>
      </w:r>
      <w:bookmarkEnd w:id="53"/>
      <w:bookmarkEnd w:id="54"/>
      <w:bookmarkEnd w:id="55"/>
      <w:bookmarkEnd w:id="56"/>
      <w:bookmarkEnd w:id="57"/>
    </w:p>
    <w:p>
      <w:pPr>
        <w:spacing w:line="300" w:lineRule="auto"/>
        <w:ind w:firstLine="480" w:firstLineChars="200"/>
        <w:rPr>
          <w:rFonts w:ascii="宋体" w:hAnsi="宋体" w:cs="仿宋_GB2312"/>
          <w:color w:val="000000"/>
          <w:szCs w:val="21"/>
        </w:rPr>
      </w:pPr>
      <w:r>
        <w:rPr>
          <w:rFonts w:hint="eastAsia" w:ascii="宋体" w:hAnsi="宋体" w:cs="仿宋_GB2312"/>
          <w:color w:val="000000"/>
          <w:szCs w:val="21"/>
        </w:rPr>
        <w:t>供应商提供的服务范围应至少包括：</w:t>
      </w:r>
    </w:p>
    <w:p>
      <w:pPr>
        <w:numPr>
          <w:ilvl w:val="0"/>
          <w:numId w:val="5"/>
        </w:numPr>
        <w:tabs>
          <w:tab w:val="left" w:pos="300"/>
        </w:tabs>
        <w:spacing w:line="300" w:lineRule="auto"/>
        <w:ind w:firstLine="0"/>
        <w:rPr>
          <w:rFonts w:ascii="宋体" w:hAnsi="宋体" w:cs="仿宋_GB2312"/>
          <w:color w:val="000000"/>
          <w:szCs w:val="21"/>
        </w:rPr>
      </w:pPr>
      <w:r>
        <w:rPr>
          <w:rFonts w:hint="eastAsia" w:ascii="宋体" w:hAnsi="宋体" w:cs="仿宋_GB2312"/>
          <w:color w:val="000000"/>
          <w:szCs w:val="21"/>
        </w:rPr>
        <w:t>系统的设计与制造。</w:t>
      </w:r>
    </w:p>
    <w:p>
      <w:pPr>
        <w:numPr>
          <w:ilvl w:val="0"/>
          <w:numId w:val="5"/>
        </w:numPr>
        <w:tabs>
          <w:tab w:val="left" w:pos="300"/>
        </w:tabs>
        <w:spacing w:line="300" w:lineRule="auto"/>
        <w:ind w:firstLine="0"/>
        <w:rPr>
          <w:rFonts w:ascii="宋体" w:hAnsi="宋体" w:cs="仿宋_GB2312"/>
          <w:color w:val="000000"/>
          <w:szCs w:val="21"/>
        </w:rPr>
      </w:pPr>
      <w:r>
        <w:rPr>
          <w:rFonts w:hint="eastAsia" w:ascii="宋体" w:hAnsi="宋体" w:cs="仿宋_GB2312"/>
          <w:color w:val="000000"/>
          <w:szCs w:val="21"/>
        </w:rPr>
        <w:t>测试与整合。</w:t>
      </w:r>
    </w:p>
    <w:p>
      <w:pPr>
        <w:numPr>
          <w:ilvl w:val="0"/>
          <w:numId w:val="5"/>
        </w:numPr>
        <w:tabs>
          <w:tab w:val="left" w:pos="-4680"/>
        </w:tabs>
        <w:spacing w:line="300" w:lineRule="auto"/>
        <w:ind w:firstLine="0"/>
        <w:rPr>
          <w:rFonts w:ascii="宋体" w:hAnsi="宋体" w:cs="仿宋_GB2312"/>
          <w:color w:val="000000"/>
          <w:szCs w:val="21"/>
        </w:rPr>
      </w:pPr>
      <w:r>
        <w:rPr>
          <w:rFonts w:hint="eastAsia" w:ascii="宋体" w:hAnsi="宋体" w:cs="仿宋_GB2312"/>
          <w:color w:val="000000"/>
          <w:szCs w:val="21"/>
        </w:rPr>
        <w:t>开箱验收与安装。</w:t>
      </w:r>
    </w:p>
    <w:p>
      <w:pPr>
        <w:numPr>
          <w:ilvl w:val="0"/>
          <w:numId w:val="5"/>
        </w:numPr>
        <w:tabs>
          <w:tab w:val="left" w:pos="300"/>
        </w:tabs>
        <w:spacing w:line="300" w:lineRule="auto"/>
        <w:ind w:firstLine="0"/>
        <w:rPr>
          <w:rFonts w:ascii="宋体" w:hAnsi="宋体" w:cs="仿宋_GB2312"/>
          <w:color w:val="000000"/>
          <w:szCs w:val="21"/>
        </w:rPr>
      </w:pPr>
      <w:r>
        <w:rPr>
          <w:rFonts w:hint="eastAsia" w:ascii="宋体" w:hAnsi="宋体" w:cs="仿宋_GB2312"/>
          <w:color w:val="000000"/>
          <w:szCs w:val="21"/>
        </w:rPr>
        <w:t>试运行与验证。</w:t>
      </w:r>
    </w:p>
    <w:p>
      <w:pPr>
        <w:numPr>
          <w:ilvl w:val="0"/>
          <w:numId w:val="5"/>
        </w:numPr>
        <w:tabs>
          <w:tab w:val="left" w:pos="300"/>
        </w:tabs>
        <w:spacing w:line="300" w:lineRule="auto"/>
        <w:ind w:firstLine="0"/>
        <w:rPr>
          <w:rFonts w:ascii="宋体" w:hAnsi="宋体" w:cs="仿宋_GB2312"/>
          <w:color w:val="000000"/>
          <w:szCs w:val="21"/>
        </w:rPr>
      </w:pPr>
      <w:r>
        <w:rPr>
          <w:rFonts w:hint="eastAsia" w:ascii="宋体" w:hAnsi="宋体" w:cs="仿宋_GB2312"/>
          <w:color w:val="000000"/>
          <w:szCs w:val="21"/>
        </w:rPr>
        <w:t>相关培训。</w:t>
      </w:r>
    </w:p>
    <w:p>
      <w:pPr>
        <w:numPr>
          <w:ilvl w:val="0"/>
          <w:numId w:val="5"/>
        </w:numPr>
        <w:tabs>
          <w:tab w:val="left" w:pos="300"/>
        </w:tabs>
        <w:spacing w:line="300" w:lineRule="auto"/>
        <w:ind w:firstLine="0"/>
        <w:rPr>
          <w:rFonts w:ascii="宋体" w:hAnsi="宋体" w:cs="仿宋_GB2312"/>
          <w:color w:val="000000"/>
          <w:szCs w:val="21"/>
        </w:rPr>
      </w:pPr>
      <w:r>
        <w:rPr>
          <w:rFonts w:hint="eastAsia" w:ascii="宋体" w:hAnsi="宋体" w:cs="仿宋_GB2312"/>
          <w:color w:val="000000"/>
          <w:szCs w:val="21"/>
        </w:rPr>
        <w:t>系统的支持。</w:t>
      </w:r>
    </w:p>
    <w:p>
      <w:pPr>
        <w:numPr>
          <w:ilvl w:val="0"/>
          <w:numId w:val="5"/>
        </w:numPr>
        <w:tabs>
          <w:tab w:val="left" w:pos="300"/>
        </w:tabs>
        <w:spacing w:line="300" w:lineRule="auto"/>
        <w:ind w:firstLine="0"/>
        <w:rPr>
          <w:rFonts w:ascii="宋体" w:hAnsi="宋体" w:cs="仿宋_GB2312"/>
          <w:color w:val="000000"/>
          <w:szCs w:val="21"/>
        </w:rPr>
      </w:pPr>
      <w:r>
        <w:rPr>
          <w:rFonts w:hint="eastAsia" w:ascii="宋体" w:hAnsi="宋体" w:cs="仿宋_GB2312"/>
          <w:color w:val="000000"/>
          <w:szCs w:val="21"/>
        </w:rPr>
        <w:t>文件（包括设备的操作手册及系统内所有部件、仪表等说明书资料和仪器仪表的合格证、电气原理图、设备合格证）。凡是供应商本身提供的文件均要求纸质版和电子版两种都具备。</w:t>
      </w:r>
    </w:p>
    <w:p>
      <w:pPr>
        <w:numPr>
          <w:ilvl w:val="0"/>
          <w:numId w:val="5"/>
        </w:numPr>
        <w:tabs>
          <w:tab w:val="left" w:pos="300"/>
        </w:tabs>
        <w:spacing w:line="300" w:lineRule="auto"/>
        <w:ind w:firstLine="0"/>
        <w:rPr>
          <w:rFonts w:ascii="宋体" w:hAnsi="宋体" w:cs="仿宋_GB2312"/>
          <w:szCs w:val="21"/>
        </w:rPr>
      </w:pPr>
      <w:r>
        <w:rPr>
          <w:rFonts w:hint="eastAsia" w:ascii="宋体" w:hAnsi="宋体" w:cs="仿宋_GB2312"/>
          <w:szCs w:val="21"/>
        </w:rPr>
        <w:t>软件系统，提供整机</w:t>
      </w:r>
      <w:r>
        <w:rPr>
          <w:rFonts w:ascii="宋体" w:hAnsi="宋体"/>
          <w:szCs w:val="21"/>
        </w:rPr>
        <w:t>PLC</w:t>
      </w:r>
      <w:r>
        <w:rPr>
          <w:rFonts w:hint="eastAsia" w:ascii="宋体" w:hAnsi="宋体" w:cs="仿宋_GB2312"/>
          <w:szCs w:val="21"/>
        </w:rPr>
        <w:t>及人机界面装机程序、密码，其他自控元件程序及密码。</w:t>
      </w:r>
    </w:p>
    <w:bookmarkEnd w:id="8"/>
    <w:p>
      <w:pPr>
        <w:pStyle w:val="2"/>
        <w:rPr>
          <w:rFonts w:ascii="宋体" w:hAnsi="宋体"/>
          <w:color w:val="auto"/>
          <w:szCs w:val="21"/>
        </w:rPr>
      </w:pPr>
      <w:r>
        <w:rPr>
          <w:color w:val="auto"/>
        </w:rPr>
        <mc:AlternateContent>
          <mc:Choice Requires="wps">
            <w:drawing>
              <wp:anchor distT="0" distB="0" distL="114300" distR="114300" simplePos="0" relativeHeight="251662336" behindDoc="0" locked="0" layoutInCell="1" allowOverlap="1">
                <wp:simplePos x="0" y="0"/>
                <wp:positionH relativeFrom="column">
                  <wp:posOffset>3218180</wp:posOffset>
                </wp:positionH>
                <wp:positionV relativeFrom="paragraph">
                  <wp:posOffset>243840</wp:posOffset>
                </wp:positionV>
                <wp:extent cx="1032510" cy="339725"/>
                <wp:effectExtent l="0" t="0" r="15240" b="22225"/>
                <wp:wrapNone/>
                <wp:docPr id="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32510" cy="339725"/>
                        </a:xfrm>
                        <a:prstGeom prst="rect">
                          <a:avLst/>
                        </a:prstGeom>
                        <a:solidFill>
                          <a:srgbClr val="FFFFFF"/>
                        </a:solidFill>
                        <a:ln w="9525">
                          <a:solidFill>
                            <a:srgbClr val="000000"/>
                          </a:solidFill>
                          <a:miter lim="800000"/>
                        </a:ln>
                      </wps:spPr>
                      <wps:txbx>
                        <w:txbxContent>
                          <w:p>
                            <w:r>
                              <w:rPr>
                                <w:rFonts w:hint="eastAsia"/>
                              </w:rPr>
                              <w:t>检漏不合格品</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53.4pt;margin-top:19.2pt;height:26.75pt;width:81.3pt;z-index:251662336;mso-width-relative:page;mso-height-relative:page;" fillcolor="#FFFFFF" filled="t" stroked="t" coordsize="21600,21600" o:gfxdata="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D3wsV2AAAAAkB&#10;AAAPAAAAAAAAAAEAIAAAACIAAABkcnMvZG93bnJldi54bWxQSwECFAAUAAAACACHTuJA0Anx6xsC&#10;AAAtBAAADgAAAAAAAAABACAAAAAnAQAAZHJzL2Uyb0RvYy54bWxQSwUGAAAAAAYABgBZAQAAtAUA&#10;AAAA&#10;">
                <v:fill on="t" focussize="0,0"/>
                <v:stroke color="#000000" miterlimit="8" joinstyle="miter"/>
                <v:imagedata o:title=""/>
                <o:lock v:ext="edit" aspectratio="f"/>
                <v:textbox>
                  <w:txbxContent>
                    <w:p>
                      <w:r>
                        <w:rPr>
                          <w:rFonts w:hint="eastAsia"/>
                        </w:rPr>
                        <w:t>检漏不合格品</w:t>
                      </w:r>
                    </w:p>
                  </w:txbxContent>
                </v:textbox>
              </v:shape>
            </w:pict>
          </mc:Fallback>
        </mc:AlternateContent>
      </w:r>
      <w:r>
        <w:rPr>
          <w:color w:val="auto"/>
        </w:rPr>
        <mc:AlternateContent>
          <mc:Choice Requires="wps">
            <w:drawing>
              <wp:anchor distT="0" distB="0" distL="114300" distR="114300" simplePos="0" relativeHeight="251658240" behindDoc="0" locked="0" layoutInCell="1" allowOverlap="1">
                <wp:simplePos x="0" y="0"/>
                <wp:positionH relativeFrom="column">
                  <wp:posOffset>2772410</wp:posOffset>
                </wp:positionH>
                <wp:positionV relativeFrom="paragraph">
                  <wp:posOffset>384810</wp:posOffset>
                </wp:positionV>
                <wp:extent cx="405765" cy="648970"/>
                <wp:effectExtent l="0" t="76200" r="0" b="36830"/>
                <wp:wrapNone/>
                <wp:docPr id="8" name="连接符: 肘形 8"/>
                <wp:cNvGraphicFramePr/>
                <a:graphic xmlns:a="http://schemas.openxmlformats.org/drawingml/2006/main">
                  <a:graphicData uri="http://schemas.microsoft.com/office/word/2010/wordprocessingShape">
                    <wps:wsp>
                      <wps:cNvCnPr/>
                      <wps:spPr>
                        <a:xfrm flipV="1">
                          <a:off x="0" y="0"/>
                          <a:ext cx="405516" cy="648970"/>
                        </a:xfrm>
                        <a:prstGeom prst="bentConnector3">
                          <a:avLst>
                            <a:gd name="adj1" fmla="val 2037"/>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连接符: 肘形 8" o:spid="_x0000_s1026" o:spt="34" type="#_x0000_t34" style="position:absolute;left:0pt;flip:y;margin-left:218.3pt;margin-top:30.3pt;height:51.1pt;width:31.95pt;z-index:251658240;mso-width-relative:page;mso-height-relative:page;" filled="f" stroked="t" coordsize="21600,21600" o:gfxdata="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0fNxtsAAAAKAQAADwAAAAAAAAABACAAAAAi&#10;AAAAZHJzL2Rvd25yZXYueG1sUEsBAhQAFAAAAAgAh07iQJNn8AwHAgAAxQMAAA4AAAAAAAAAAQAg&#10;AAAAKgEAAGRycy9lMm9Eb2MueG1sUEsFBgAAAAAGAAYAWQEAAKMFAAAAAA==&#10;" adj="440">
                <v:fill on="f" focussize="0,0"/>
                <v:stroke weight="0.5pt" color="#000000 [3200]" miterlimit="8" joinstyle="miter" endarrow="block"/>
                <v:imagedata o:title=""/>
                <o:lock v:ext="edit" aspectratio="f"/>
              </v:shape>
            </w:pict>
          </mc:Fallback>
        </mc:AlternateContent>
      </w:r>
      <w:r>
        <w:rPr>
          <w:rFonts w:hint="eastAsia" w:ascii="宋体" w:hAnsi="宋体"/>
          <w:color w:val="auto"/>
          <w:szCs w:val="21"/>
        </w:rPr>
        <w:t>工艺流程</w:t>
      </w:r>
    </w:p>
    <w:p>
      <w:pPr>
        <w:jc w:val="center"/>
        <w:rPr>
          <w:color w:val="auto"/>
        </w:rPr>
      </w:pPr>
      <w:r>
        <w:rPr>
          <w:color w:val="auto"/>
        </w:rPr>
        <mc:AlternateContent>
          <mc:Choice Requires="wps">
            <w:drawing>
              <wp:inline distT="0" distB="0" distL="0" distR="0">
                <wp:extent cx="1032510" cy="539750"/>
                <wp:effectExtent l="0" t="0" r="15240" b="12700"/>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32813" cy="540330"/>
                        </a:xfrm>
                        <a:prstGeom prst="rect">
                          <a:avLst/>
                        </a:prstGeom>
                        <a:solidFill>
                          <a:srgbClr val="FFFFFF"/>
                        </a:solidFill>
                        <a:ln w="9525">
                          <a:solidFill>
                            <a:srgbClr val="000000"/>
                          </a:solidFill>
                          <a:miter lim="800000"/>
                        </a:ln>
                      </wps:spPr>
                      <wps:txbx>
                        <w:txbxContent>
                          <w:p>
                            <w:pPr>
                              <w:jc w:val="center"/>
                              <w:rPr>
                                <w:color w:val="auto"/>
                              </w:rPr>
                            </w:pPr>
                            <w:r>
                              <w:rPr>
                                <w:rFonts w:hint="eastAsia"/>
                                <w:color w:val="auto"/>
                              </w:rPr>
                              <w:t>灯检合格品进料输送带</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42.5pt;width:81.3pt;" fillcolor="#FFFFFF" filled="t" stroked="t" coordsize="21600,21600" o:gfxdata="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CLDzBNQAAAAE&#10;AQAADwAAAAAAAAABACAAAAAiAAAAZHJzL2Rvd25yZXYueG1sUEsBAhQAFAAAAAgAh07iQFrGvogg&#10;AgAALwQAAA4AAAAAAAAAAQAgAAAAIwEAAGRycy9lMm9Eb2MueG1sUEsFBgAAAAAGAAYAWQEAALUF&#10;AAAAAA==&#10;">
                <v:fill on="t" focussize="0,0"/>
                <v:stroke color="#000000" miterlimit="8" joinstyle="miter"/>
                <v:imagedata o:title=""/>
                <o:lock v:ext="edit" aspectratio="f"/>
                <v:textbox>
                  <w:txbxContent>
                    <w:p>
                      <w:pPr>
                        <w:jc w:val="center"/>
                        <w:rPr>
                          <w:color w:val="auto"/>
                        </w:rPr>
                      </w:pPr>
                      <w:r>
                        <w:rPr>
                          <w:rFonts w:hint="eastAsia"/>
                          <w:color w:val="auto"/>
                        </w:rPr>
                        <w:t>灯检合格品进料输送带</w:t>
                      </w:r>
                    </w:p>
                  </w:txbxContent>
                </v:textbox>
                <w10:wrap type="none"/>
                <w10:anchorlock/>
              </v:shape>
            </w:pict>
          </mc:Fallback>
        </mc:AlternateContent>
      </w:r>
      <w:r>
        <w:rPr>
          <w:color w:val="auto"/>
        </w:rPr>
        <mc:AlternateContent>
          <mc:Choice Requires="wps">
            <w:drawing>
              <wp:inline distT="0" distB="0" distL="0" distR="0">
                <wp:extent cx="445135" cy="7620"/>
                <wp:effectExtent l="0" t="57150" r="31115" b="87630"/>
                <wp:docPr id="3" name="直接箭头连接符 3"/>
                <wp:cNvGraphicFramePr/>
                <a:graphic xmlns:a="http://schemas.openxmlformats.org/drawingml/2006/main">
                  <a:graphicData uri="http://schemas.microsoft.com/office/word/2010/wordprocessingShape">
                    <wps:wsp>
                      <wps:cNvCnPr/>
                      <wps:spPr>
                        <a:xfrm>
                          <a:off x="0" y="0"/>
                          <a:ext cx="44527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inline>
            </w:drawing>
          </mc:Choice>
          <mc:Fallback>
            <w:pict>
              <v:shape id="_x0000_s1026" o:spid="_x0000_s1026" o:spt="32" type="#_x0000_t32" style="height:0.6pt;width:35.05pt;" filled="f" stroked="t" coordsize="21600,21600" o:gfxdata="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Co0znQAAAA&#10;AgEAAA8AAAAAAAAAAQAgAAAAIgAAAGRycy9kb3ducmV2LnhtbFBLAQIUABQAAAAIAIdO4kC0pPjM&#10;7AEAAJUDAAAOAAAAAAAAAAEAIAAAAB8BAABkcnMvZTJvRG9jLnhtbFBLBQYAAAAABgAGAFkBAAB9&#10;BQAAAAA=&#10;">
                <v:fill on="f" focussize="0,0"/>
                <v:stroke weight="0.5pt" color="#000000 [3200]" miterlimit="8" joinstyle="miter" endarrow="block"/>
                <v:imagedata o:title=""/>
                <o:lock v:ext="edit" aspectratio="f"/>
                <w10:wrap type="none"/>
                <w10:anchorlock/>
              </v:shape>
            </w:pict>
          </mc:Fallback>
        </mc:AlternateContent>
      </w:r>
      <w:r>
        <w:rPr>
          <w:color w:val="auto"/>
        </w:rPr>
        <mc:AlternateContent>
          <mc:Choice Requires="wps">
            <w:drawing>
              <wp:inline distT="0" distB="0" distL="0" distR="0">
                <wp:extent cx="1032510" cy="330835"/>
                <wp:effectExtent l="0" t="0" r="15240" b="12065"/>
                <wp:docPr id="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32813" cy="331249"/>
                        </a:xfrm>
                        <a:prstGeom prst="rect">
                          <a:avLst/>
                        </a:prstGeom>
                        <a:solidFill>
                          <a:srgbClr val="FFFFFF"/>
                        </a:solidFill>
                        <a:ln w="9525">
                          <a:solidFill>
                            <a:srgbClr val="000000"/>
                          </a:solidFill>
                          <a:miter lim="800000"/>
                        </a:ln>
                      </wps:spPr>
                      <wps:txbx>
                        <w:txbxContent>
                          <w:p>
                            <w:pPr>
                              <w:jc w:val="center"/>
                            </w:pPr>
                            <w:r>
                              <w:rPr>
                                <w:rFonts w:hint="eastAsia"/>
                              </w:rPr>
                              <w:t>检漏工位</w:t>
                            </w:r>
                            <w:r>
                              <w:tab/>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26.05pt;width:81.3pt;" fillcolor="#FFFFFF" filled="t" stroked="t" coordsize="21600,21600" o:gfxdata="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kBiEmtQAAAAEAQAA&#10;DwAAAAAAAAABACAAAAAiAAAAZHJzL2Rvd25yZXYueG1sUEsBAhQAFAAAAAgAh07iQP+kT3gdAgAA&#10;LQQAAA4AAAAAAAAAAQAgAAAAIwEAAGRycy9lMm9Eb2MueG1sUEsFBgAAAAAGAAYAWQEAALIFAAAA&#10;AA==&#10;">
                <v:fill on="t" focussize="0,0"/>
                <v:stroke color="#000000" miterlimit="8" joinstyle="miter"/>
                <v:imagedata o:title=""/>
                <o:lock v:ext="edit" aspectratio="f"/>
                <v:textbox>
                  <w:txbxContent>
                    <w:p>
                      <w:pPr>
                        <w:jc w:val="center"/>
                      </w:pPr>
                      <w:r>
                        <w:rPr>
                          <w:rFonts w:hint="eastAsia"/>
                        </w:rPr>
                        <w:t>检漏工位</w:t>
                      </w:r>
                      <w:r>
                        <w:tab/>
                      </w:r>
                    </w:p>
                  </w:txbxContent>
                </v:textbox>
                <w10:wrap type="none"/>
                <w10:anchorlock/>
              </v:shape>
            </w:pict>
          </mc:Fallback>
        </mc:AlternateContent>
      </w:r>
      <w:r>
        <w:rPr>
          <w:color w:val="auto"/>
        </w:rPr>
        <mc:AlternateContent>
          <mc:Choice Requires="wps">
            <w:drawing>
              <wp:inline distT="0" distB="0" distL="0" distR="0">
                <wp:extent cx="445135" cy="7620"/>
                <wp:effectExtent l="0" t="57150" r="31115" b="87630"/>
                <wp:docPr id="6" name="直接箭头连接符 6"/>
                <wp:cNvGraphicFramePr/>
                <a:graphic xmlns:a="http://schemas.openxmlformats.org/drawingml/2006/main">
                  <a:graphicData uri="http://schemas.microsoft.com/office/word/2010/wordprocessingShape">
                    <wps:wsp>
                      <wps:cNvCnPr/>
                      <wps:spPr>
                        <a:xfrm>
                          <a:off x="0" y="0"/>
                          <a:ext cx="44527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inline>
            </w:drawing>
          </mc:Choice>
          <mc:Fallback>
            <w:pict>
              <v:shape id="_x0000_s1026" o:spid="_x0000_s1026" o:spt="32" type="#_x0000_t32" style="height:0.6pt;width:35.05pt;" filled="f" stroked="t" coordsize="21600,21600" o:gfxdata="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Co0znQAAAA&#10;AgEAAA8AAAAAAAAAAQAgAAAAIgAAAGRycy9kb3ducmV2LnhtbFBLAQIUABQAAAAIAIdO4kAlRFQp&#10;7AEAAJUDAAAOAAAAAAAAAAEAIAAAAB8BAABkcnMvZTJvRG9jLnhtbFBLBQYAAAAABgAGAFkBAAB9&#10;BQAAAAA=&#10;">
                <v:fill on="f" focussize="0,0"/>
                <v:stroke weight="0.5pt" color="#000000 [3200]" miterlimit="8" joinstyle="miter" endarrow="block"/>
                <v:imagedata o:title=""/>
                <o:lock v:ext="edit" aspectratio="f"/>
                <w10:wrap type="none"/>
                <w10:anchorlock/>
              </v:shape>
            </w:pict>
          </mc:Fallback>
        </mc:AlternateContent>
      </w:r>
      <w:r>
        <w:rPr>
          <w:color w:val="auto"/>
        </w:rPr>
        <mc:AlternateContent>
          <mc:Choice Requires="wps">
            <w:drawing>
              <wp:inline distT="0" distB="0" distL="0" distR="0">
                <wp:extent cx="1032510" cy="339725"/>
                <wp:effectExtent l="0" t="0" r="15240" b="22225"/>
                <wp:docPr id="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32813" cy="340084"/>
                        </a:xfrm>
                        <a:prstGeom prst="rect">
                          <a:avLst/>
                        </a:prstGeom>
                        <a:solidFill>
                          <a:srgbClr val="FFFFFF"/>
                        </a:solidFill>
                        <a:ln w="9525">
                          <a:solidFill>
                            <a:srgbClr val="000000"/>
                          </a:solidFill>
                          <a:miter lim="800000"/>
                        </a:ln>
                      </wps:spPr>
                      <wps:txbx>
                        <w:txbxContent>
                          <w:p>
                            <w:r>
                              <w:rPr>
                                <w:rFonts w:hint="eastAsia"/>
                              </w:rPr>
                              <w:t>检漏合格品</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26.75pt;width:81.3pt;" fillcolor="#FFFFFF" filled="t" stroked="t" coordsize="21600,21600" o:gfxdata="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0LosW1QAAAAQB&#10;AAAPAAAAAAAAAAEAIAAAACIAAABkcnMvZG93bnJldi54bWxQSwECFAAUAAAACACHTuJA4m4m8R4C&#10;AAAtBAAADgAAAAAAAAABACAAAAAkAQAAZHJzL2Uyb0RvYy54bWxQSwUGAAAAAAYABgBZAQAAtAUA&#10;AAAA&#10;">
                <v:fill on="t" focussize="0,0"/>
                <v:stroke color="#000000" miterlimit="8" joinstyle="miter"/>
                <v:imagedata o:title=""/>
                <o:lock v:ext="edit" aspectratio="f"/>
                <v:textbox>
                  <w:txbxContent>
                    <w:p>
                      <w:r>
                        <w:rPr>
                          <w:rFonts w:hint="eastAsia"/>
                        </w:rPr>
                        <w:t>检漏合格品</w:t>
                      </w:r>
                    </w:p>
                  </w:txbxContent>
                </v:textbox>
                <w10:wrap type="none"/>
                <w10:anchorlock/>
              </v:shape>
            </w:pict>
          </mc:Fallback>
        </mc:AlternateContent>
      </w:r>
      <w:r>
        <w:rPr>
          <w:color w:val="auto"/>
        </w:rPr>
        <mc:AlternateContent>
          <mc:Choice Requires="wps">
            <w:drawing>
              <wp:inline distT="0" distB="0" distL="0" distR="0">
                <wp:extent cx="445135" cy="7620"/>
                <wp:effectExtent l="0" t="57150" r="31115" b="87630"/>
                <wp:docPr id="2" name="直接箭头连接符 2"/>
                <wp:cNvGraphicFramePr/>
                <a:graphic xmlns:a="http://schemas.openxmlformats.org/drawingml/2006/main">
                  <a:graphicData uri="http://schemas.microsoft.com/office/word/2010/wordprocessingShape">
                    <wps:wsp>
                      <wps:cNvCnPr/>
                      <wps:spPr>
                        <a:xfrm>
                          <a:off x="0" y="0"/>
                          <a:ext cx="445273" cy="79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inline>
            </w:drawing>
          </mc:Choice>
          <mc:Fallback>
            <w:pict>
              <v:shape id="_x0000_s1026" o:spid="_x0000_s1026" o:spt="32" type="#_x0000_t32" style="height:0.6pt;width:35.05pt;" filled="f" stroked="t" coordsize="21600,21600" o:gfxdata="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YKjTOdAA&#10;AAACAQAADwAAAAAAAAABACAAAAAiAAAAZHJzL2Rvd25yZXYueG1sUEsBAhQAFAAAAAgAh07iQBuS&#10;7iPuAQAAlQMAAA4AAAAAAAAAAQAgAAAAHwEAAGRycy9lMm9Eb2MueG1sUEsFBgAAAAAGAAYAWQEA&#10;AH8FAAAAAA==&#10;">
                <v:fill on="f" focussize="0,0"/>
                <v:stroke weight="0.5pt" color="#000000 [3200]" miterlimit="8" joinstyle="miter" endarrow="block"/>
                <v:imagedata o:title=""/>
                <o:lock v:ext="edit" aspectratio="f"/>
                <w10:wrap type="none"/>
                <w10:anchorlock/>
              </v:shape>
            </w:pict>
          </mc:Fallback>
        </mc:AlternateContent>
      </w:r>
      <w:r>
        <w:rPr>
          <w:color w:val="auto"/>
        </w:rPr>
        <mc:AlternateContent>
          <mc:Choice Requires="wps">
            <w:drawing>
              <wp:inline distT="0" distB="0" distL="0" distR="0">
                <wp:extent cx="1032510" cy="339725"/>
                <wp:effectExtent l="0" t="0" r="15240" b="22225"/>
                <wp:docPr id="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32813" cy="340084"/>
                        </a:xfrm>
                        <a:prstGeom prst="rect">
                          <a:avLst/>
                        </a:prstGeom>
                        <a:solidFill>
                          <a:srgbClr val="FFFFFF"/>
                        </a:solidFill>
                        <a:ln w="9525">
                          <a:solidFill>
                            <a:srgbClr val="000000"/>
                          </a:solidFill>
                          <a:miter lim="800000"/>
                        </a:ln>
                      </wps:spPr>
                      <wps:txbx>
                        <w:txbxContent>
                          <w:p>
                            <w:r>
                              <w:rPr>
                                <w:rFonts w:hint="eastAsia"/>
                              </w:rPr>
                              <w:t>包装联动线</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26.75pt;width:81.3pt;" fillcolor="#FFFFFF" filled="t" stroked="t" coordsize="21600,21600" o:gfxdata="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0LosW1QAAAAQB&#10;AAAPAAAAAAAAAAEAIAAAACIAAABkcnMvZG93bnJldi54bWxQSwECFAAUAAAACACHTuJACtwK9R4C&#10;AAAtBAAADgAAAAAAAAABACAAAAAkAQAAZHJzL2Uyb0RvYy54bWxQSwUGAAAAAAYABgBZAQAAtAUA&#10;AAAA&#10;">
                <v:fill on="t" focussize="0,0"/>
                <v:stroke color="#000000" miterlimit="8" joinstyle="miter"/>
                <v:imagedata o:title=""/>
                <o:lock v:ext="edit" aspectratio="f"/>
                <v:textbox>
                  <w:txbxContent>
                    <w:p>
                      <w:r>
                        <w:rPr>
                          <w:rFonts w:hint="eastAsia"/>
                        </w:rPr>
                        <w:t>包装联动线</w:t>
                      </w:r>
                    </w:p>
                  </w:txbxContent>
                </v:textbox>
                <w10:wrap type="none"/>
                <w10:anchorlock/>
              </v:shape>
            </w:pict>
          </mc:Fallback>
        </mc:AlternateContent>
      </w:r>
    </w:p>
    <w:p>
      <w:pPr>
        <w:pStyle w:val="2"/>
        <w:rPr>
          <w:color w:val="auto"/>
        </w:rPr>
      </w:pPr>
      <w:r>
        <w:rPr>
          <w:rFonts w:hint="eastAsia"/>
          <w:color w:val="auto"/>
        </w:rPr>
        <w:t>设备总体设计要求</w:t>
      </w:r>
    </w:p>
    <w:p>
      <w:pPr>
        <w:pStyle w:val="3"/>
        <w:rPr>
          <w:rFonts w:ascii="宋体" w:hAnsi="宋体"/>
          <w:b w:val="0"/>
          <w:bCs/>
          <w:kern w:val="44"/>
          <w:szCs w:val="44"/>
        </w:rPr>
      </w:pPr>
      <w:bookmarkStart w:id="58" w:name="_Toc23165140"/>
      <w:r>
        <w:rPr>
          <w:rFonts w:hint="eastAsia" w:ascii="宋体" w:hAnsi="宋体" w:cs="Arial"/>
          <w:b w:val="0"/>
          <w:bCs/>
        </w:rPr>
        <w:t>设备性能要求</w:t>
      </w:r>
      <w:bookmarkEnd w:id="58"/>
    </w:p>
    <w:tbl>
      <w:tblPr>
        <w:tblStyle w:val="24"/>
        <w:tblW w:w="9870" w:type="dxa"/>
        <w:tblInd w:w="-12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7395"/>
        <w:gridCol w:w="126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215"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395"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260" w:type="dxa"/>
            <w:shd w:val="clear" w:color="auto" w:fill="C0C0C0"/>
            <w:vAlign w:val="center"/>
          </w:tcPr>
          <w:p>
            <w:pPr>
              <w:pStyle w:val="69"/>
              <w:tabs>
                <w:tab w:val="center" w:pos="2268"/>
                <w:tab w:val="right" w:pos="5387"/>
                <w:tab w:val="clear" w:pos="4820"/>
                <w:tab w:val="clear" w:pos="9639"/>
              </w:tabs>
              <w:snapToGrid w:val="0"/>
              <w:spacing w:before="0" w:after="0" w:line="36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15"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kern w:val="2"/>
                <w:lang w:val="en-US" w:eastAsia="zh-CN"/>
              </w:rPr>
            </w:pPr>
            <w:r>
              <w:rPr>
                <w:rFonts w:ascii="宋体" w:hAnsi="宋体"/>
                <w:b w:val="0"/>
                <w:caps w:val="0"/>
                <w:kern w:val="2"/>
                <w:lang w:val="en-US" w:eastAsia="zh-CN"/>
              </w:rPr>
              <w:t>URS00</w:t>
            </w:r>
            <w:r>
              <w:rPr>
                <w:rFonts w:hint="eastAsia" w:ascii="宋体" w:hAnsi="宋体"/>
                <w:b w:val="0"/>
                <w:caps w:val="0"/>
                <w:kern w:val="2"/>
                <w:lang w:val="en-US" w:eastAsia="zh-CN"/>
              </w:rPr>
              <w:t>1</w:t>
            </w:r>
          </w:p>
        </w:tc>
        <w:tc>
          <w:tcPr>
            <w:tcW w:w="7395" w:type="dxa"/>
            <w:vAlign w:val="center"/>
          </w:tcPr>
          <w:p>
            <w:pPr>
              <w:spacing w:line="400" w:lineRule="exac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设备应能实现对1ml、2ml、3ml、5ml、10ml安瓿熔封后产品的密封性检测（如通过更换不同规格模具实现，则需提供各个规格模具）</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15"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kern w:val="2"/>
                <w:lang w:val="en-US" w:eastAsia="zh-CN"/>
              </w:rPr>
            </w:pPr>
            <w:r>
              <w:rPr>
                <w:rFonts w:ascii="宋体" w:hAnsi="宋体"/>
                <w:b w:val="0"/>
                <w:caps w:val="0"/>
                <w:kern w:val="2"/>
                <w:lang w:val="en-US" w:eastAsia="zh-CN"/>
              </w:rPr>
              <w:t>URS00</w:t>
            </w:r>
            <w:r>
              <w:rPr>
                <w:rFonts w:hint="eastAsia" w:ascii="宋体" w:hAnsi="宋体"/>
                <w:b w:val="0"/>
                <w:caps w:val="0"/>
                <w:kern w:val="2"/>
                <w:lang w:val="en-US" w:eastAsia="zh-CN"/>
              </w:rPr>
              <w:t>2</w:t>
            </w:r>
          </w:p>
        </w:tc>
        <w:tc>
          <w:tcPr>
            <w:tcW w:w="7395" w:type="dxa"/>
            <w:vAlign w:val="center"/>
          </w:tcPr>
          <w:p>
            <w:pPr>
              <w:pStyle w:val="70"/>
              <w:spacing w:before="0" w:after="0" w:line="400" w:lineRule="exact"/>
              <w:jc w:val="both"/>
              <w:rPr>
                <w:rFonts w:ascii="宋体" w:hAnsi="宋体"/>
                <w:snapToGrid/>
                <w:color w:val="000000" w:themeColor="text1"/>
                <w:kern w:val="2"/>
                <w:sz w:val="24"/>
                <w:szCs w:val="24"/>
                <w:lang w:val="en-US" w:eastAsia="zh-CN"/>
                <w14:textFill>
                  <w14:solidFill>
                    <w14:schemeClr w14:val="tx1"/>
                  </w14:solidFill>
                </w14:textFill>
              </w:rPr>
            </w:pPr>
            <w:r>
              <w:rPr>
                <w:rFonts w:hint="eastAsia"/>
                <w:sz w:val="24"/>
                <w:szCs w:val="24"/>
                <w:lang w:eastAsia="zh-CN"/>
              </w:rPr>
              <w:t>设备检测应能确保熔封产品</w:t>
            </w:r>
            <w:r>
              <w:rPr>
                <w:sz w:val="24"/>
                <w:szCs w:val="24"/>
                <w:lang w:eastAsia="zh-CN"/>
              </w:rPr>
              <w:t>100</w:t>
            </w:r>
            <w:r>
              <w:rPr>
                <w:rFonts w:hint="eastAsia"/>
                <w:sz w:val="24"/>
                <w:szCs w:val="24"/>
                <w:lang w:eastAsia="zh-CN"/>
              </w:rPr>
              <w:t>％检漏，实现产品整体全检</w:t>
            </w:r>
          </w:p>
        </w:tc>
        <w:tc>
          <w:tcPr>
            <w:tcW w:w="1260" w:type="dxa"/>
            <w:vAlign w:val="center"/>
          </w:tcPr>
          <w:p>
            <w:pPr>
              <w:spacing w:line="400" w:lineRule="exact"/>
              <w:jc w:val="center"/>
              <w:rPr>
                <w:rFonts w:ascii="宋体" w:hAnsi="宋体"/>
              </w:rPr>
            </w:pPr>
            <w:r>
              <w:rPr>
                <w:rFonts w:ascii="宋体" w:hAnsi="宋体"/>
              </w:rPr>
              <w:t xml:space="preserve">必需 </w:t>
            </w:r>
            <w:r>
              <w:rPr>
                <w:rFonts w:hint="eastAsia" w:ascii="宋体" w:hAnsi="宋体"/>
              </w:rPr>
              <w:t xml:space="preserve">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15" w:type="dxa"/>
            <w:vAlign w:val="center"/>
          </w:tcPr>
          <w:p>
            <w:pPr>
              <w:pStyle w:val="6"/>
              <w:numPr>
                <w:ilvl w:val="0"/>
                <w:numId w:val="0"/>
              </w:numPr>
              <w:jc w:val="center"/>
              <w:rPr>
                <w:rFonts w:ascii="宋体" w:hAnsi="宋体"/>
              </w:rPr>
            </w:pPr>
            <w:r>
              <w:rPr>
                <w:rFonts w:ascii="宋体" w:hAnsi="宋体"/>
              </w:rPr>
              <w:t>URS00</w:t>
            </w:r>
            <w:r>
              <w:rPr>
                <w:rFonts w:hint="eastAsia" w:ascii="宋体" w:hAnsi="宋体"/>
              </w:rPr>
              <w:t>3</w:t>
            </w:r>
          </w:p>
        </w:tc>
        <w:tc>
          <w:tcPr>
            <w:tcW w:w="7395" w:type="dxa"/>
            <w:vAlign w:val="center"/>
          </w:tcPr>
          <w:p>
            <w:pPr>
              <w:spacing w:line="400" w:lineRule="exact"/>
              <w:rPr>
                <w:rFonts w:hint="eastAsia" w:ascii="宋体" w:hAnsi="宋体"/>
                <w:szCs w:val="21"/>
              </w:rPr>
            </w:pPr>
            <w:r>
              <w:rPr>
                <w:rFonts w:hint="eastAsia" w:ascii="宋体" w:hAnsi="宋体"/>
                <w:color w:val="auto"/>
              </w:rPr>
              <w:t>检测速度不低于：</w:t>
            </w:r>
            <w:r>
              <w:rPr>
                <w:rFonts w:hint="eastAsia" w:ascii="宋体" w:hAnsi="宋体"/>
                <w:color w:val="auto"/>
                <w:szCs w:val="21"/>
              </w:rPr>
              <w:t>1-2ml稳定</w:t>
            </w:r>
            <w:r>
              <w:rPr>
                <w:rFonts w:hint="eastAsia" w:ascii="宋体" w:hAnsi="宋体"/>
                <w:color w:val="auto"/>
                <w:szCs w:val="21"/>
                <w:lang w:val="en-US" w:eastAsia="zh-CN"/>
              </w:rPr>
              <w:t>600</w:t>
            </w:r>
            <w:r>
              <w:rPr>
                <w:rFonts w:hint="eastAsia" w:ascii="宋体" w:hAnsi="宋体"/>
                <w:color w:val="auto"/>
                <w:szCs w:val="21"/>
              </w:rPr>
              <w:t>支/分钟，5ml稳定</w:t>
            </w:r>
            <w:r>
              <w:rPr>
                <w:rFonts w:hint="eastAsia" w:ascii="宋体" w:hAnsi="宋体"/>
                <w:color w:val="auto"/>
                <w:szCs w:val="21"/>
                <w:lang w:val="en-US" w:eastAsia="zh-CN"/>
              </w:rPr>
              <w:t>400</w:t>
            </w:r>
            <w:bookmarkStart w:id="115" w:name="_GoBack"/>
            <w:bookmarkEnd w:id="115"/>
            <w:r>
              <w:rPr>
                <w:rFonts w:hint="eastAsia" w:ascii="宋体" w:hAnsi="宋体"/>
                <w:color w:val="auto"/>
                <w:szCs w:val="21"/>
              </w:rPr>
              <w:t>支/分钟，10ml稳定</w:t>
            </w:r>
            <w:r>
              <w:rPr>
                <w:rFonts w:hint="eastAsia" w:ascii="宋体" w:hAnsi="宋体"/>
                <w:color w:val="auto"/>
                <w:szCs w:val="21"/>
                <w:lang w:val="en-US" w:eastAsia="zh-CN"/>
              </w:rPr>
              <w:t>300</w:t>
            </w:r>
            <w:r>
              <w:rPr>
                <w:rFonts w:hint="eastAsia" w:ascii="宋体" w:hAnsi="宋体"/>
                <w:color w:val="auto"/>
                <w:szCs w:val="21"/>
              </w:rPr>
              <w:t>支/分钟；且速度可无级调速。</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1215"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kern w:val="2"/>
                <w:lang w:val="en-US" w:eastAsia="zh-CN"/>
              </w:rPr>
            </w:pPr>
            <w:r>
              <w:rPr>
                <w:rFonts w:hint="eastAsia" w:ascii="宋体" w:hAnsi="宋体"/>
                <w:b w:val="0"/>
                <w:caps w:val="0"/>
                <w:kern w:val="2"/>
                <w:lang w:val="en-US" w:eastAsia="zh-CN"/>
              </w:rPr>
              <w:t>U</w:t>
            </w:r>
            <w:r>
              <w:rPr>
                <w:rFonts w:ascii="宋体" w:hAnsi="宋体"/>
                <w:b w:val="0"/>
                <w:caps w:val="0"/>
                <w:kern w:val="2"/>
                <w:lang w:val="en-US" w:eastAsia="zh-CN"/>
              </w:rPr>
              <w:t>RS00</w:t>
            </w:r>
            <w:r>
              <w:rPr>
                <w:rFonts w:hint="eastAsia" w:ascii="宋体" w:hAnsi="宋体"/>
                <w:b w:val="0"/>
                <w:caps w:val="0"/>
                <w:kern w:val="2"/>
                <w:lang w:val="en-US" w:eastAsia="zh-CN"/>
              </w:rPr>
              <w:t>4</w:t>
            </w:r>
          </w:p>
        </w:tc>
        <w:tc>
          <w:tcPr>
            <w:tcW w:w="7395" w:type="dxa"/>
            <w:vAlign w:val="center"/>
          </w:tcPr>
          <w:p>
            <w:pPr>
              <w:spacing w:line="400" w:lineRule="exact"/>
              <w:rPr>
                <w:rFonts w:hint="eastAsia" w:ascii="宋体" w:hAnsi="宋体" w:eastAsia="宋体"/>
                <w:color w:val="000000" w:themeColor="text1"/>
                <w:lang w:eastAsia="zh-CN"/>
                <w14:textFill>
                  <w14:solidFill>
                    <w14:schemeClr w14:val="tx1"/>
                  </w14:solidFill>
                </w14:textFill>
              </w:rPr>
            </w:pPr>
            <w:r>
              <w:rPr>
                <w:rFonts w:hint="eastAsia"/>
                <w:sz w:val="22"/>
              </w:rPr>
              <w:t>整个运行过程产品输送平缓</w:t>
            </w:r>
            <w:r>
              <w:rPr>
                <w:rFonts w:hint="eastAsia"/>
                <w:sz w:val="22"/>
                <w:lang w:eastAsia="zh-CN"/>
              </w:rPr>
              <w:t>，</w:t>
            </w:r>
            <w:r>
              <w:rPr>
                <w:rFonts w:hint="eastAsia"/>
                <w:sz w:val="22"/>
              </w:rPr>
              <w:t>无卡瓶、倒瓶、碎瓶的现象，碎瓶率不得超过0.03%</w:t>
            </w:r>
            <w:r>
              <w:rPr>
                <w:rFonts w:hint="eastAsia"/>
                <w:sz w:val="22"/>
                <w:lang w:eastAsia="zh-CN"/>
              </w:rPr>
              <w:t>。</w:t>
            </w:r>
          </w:p>
        </w:tc>
        <w:tc>
          <w:tcPr>
            <w:tcW w:w="1260" w:type="dxa"/>
            <w:vAlign w:val="center"/>
          </w:tcPr>
          <w:p>
            <w:pPr>
              <w:spacing w:line="400" w:lineRule="exact"/>
              <w:jc w:val="center"/>
              <w:rPr>
                <w:rFonts w:ascii="宋体" w:hAnsi="宋体"/>
              </w:rPr>
            </w:pPr>
            <w:r>
              <w:rPr>
                <w:rFonts w:hint="eastAsia"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1215"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05</w:t>
            </w:r>
          </w:p>
        </w:tc>
        <w:tc>
          <w:tcPr>
            <w:tcW w:w="7395" w:type="dxa"/>
            <w:vAlign w:val="center"/>
          </w:tcPr>
          <w:p>
            <w:pPr>
              <w:spacing w:line="400" w:lineRule="exact"/>
              <w:rPr>
                <w:rFonts w:hint="eastAsia" w:ascii="宋体" w:hAnsi="宋体"/>
                <w:sz w:val="22"/>
              </w:rPr>
            </w:pPr>
            <w:r>
              <w:rPr>
                <w:rFonts w:hint="eastAsia" w:ascii="宋体" w:hAnsi="宋体"/>
                <w:color w:val="auto"/>
              </w:rPr>
              <w:t>泄漏检测要求：均能检测出≥</w:t>
            </w:r>
            <w:r>
              <w:rPr>
                <w:rFonts w:hint="eastAsia" w:ascii="宋体" w:hAnsi="宋体"/>
                <w:color w:val="auto"/>
                <w:lang w:val="en-US" w:eastAsia="zh-CN"/>
              </w:rPr>
              <w:t>0.</w:t>
            </w:r>
            <w:r>
              <w:rPr>
                <w:rFonts w:hint="eastAsia" w:ascii="宋体" w:hAnsi="宋体"/>
                <w:color w:val="auto"/>
              </w:rPr>
              <w:t>2μm孔径以上泄漏，</w:t>
            </w:r>
            <w:r>
              <w:rPr>
                <w:rFonts w:hint="eastAsia" w:ascii="宋体" w:hAnsi="宋体"/>
                <w:color w:val="auto"/>
                <w:sz w:val="22"/>
              </w:rPr>
              <w:t>提供一个规格的标准品，</w:t>
            </w:r>
            <w:r>
              <w:rPr>
                <w:rFonts w:hint="eastAsia" w:ascii="宋体" w:hAnsi="宋体"/>
                <w:color w:val="auto"/>
                <w:sz w:val="22"/>
                <w:lang w:val="en-US" w:eastAsia="zh-CN"/>
              </w:rPr>
              <w:t>标准样品孔径1-2</w:t>
            </w:r>
            <w:r>
              <w:rPr>
                <w:rFonts w:hint="eastAsia" w:ascii="宋体" w:hAnsi="宋体"/>
                <w:color w:val="auto"/>
              </w:rPr>
              <w:t>μm</w:t>
            </w:r>
            <w:r>
              <w:rPr>
                <w:rFonts w:hint="eastAsia" w:ascii="宋体" w:hAnsi="宋体"/>
                <w:color w:val="auto"/>
                <w:lang w:val="en-US" w:eastAsia="zh-CN"/>
              </w:rPr>
              <w:t>之间。</w:t>
            </w:r>
          </w:p>
        </w:tc>
        <w:tc>
          <w:tcPr>
            <w:tcW w:w="1260" w:type="dxa"/>
            <w:vAlign w:val="center"/>
          </w:tcPr>
          <w:p>
            <w:pPr>
              <w:spacing w:line="400" w:lineRule="exact"/>
              <w:jc w:val="center"/>
              <w:rPr>
                <w:rFonts w:ascii="宋体" w:hAnsi="宋体"/>
              </w:rPr>
            </w:pPr>
            <w:r>
              <w:rPr>
                <w:rFonts w:hint="eastAsia"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06</w:t>
            </w:r>
          </w:p>
        </w:tc>
        <w:tc>
          <w:tcPr>
            <w:tcW w:w="7395" w:type="dxa"/>
            <w:vAlign w:val="center"/>
          </w:tcPr>
          <w:p>
            <w:pPr>
              <w:spacing w:line="400" w:lineRule="exact"/>
              <w:rPr>
                <w:rFonts w:ascii="宋体" w:hAnsi="宋体"/>
              </w:rPr>
            </w:pPr>
            <w:r>
              <w:rPr>
                <w:rFonts w:hint="eastAsia" w:ascii="宋体" w:hAnsi="宋体"/>
                <w:szCs w:val="21"/>
              </w:rPr>
              <w:t>采用高压放电检测，</w:t>
            </w:r>
            <w:r>
              <w:rPr>
                <w:rFonts w:hint="eastAsia"/>
              </w:rPr>
              <w:t>检测不得对产品质量造成不良影响；能</w:t>
            </w:r>
            <w:r>
              <w:rPr>
                <w:rFonts w:hint="eastAsia"/>
                <w:szCs w:val="21"/>
              </w:rPr>
              <w:t>分别实现对安瓿瓶的头部、瓶颈部、瓶身部、瓶底部的360度全覆盖检查，且可单独设定检查参数及位置调整，有检测电压实时显示、记录和报警功能</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07</w:t>
            </w:r>
          </w:p>
        </w:tc>
        <w:tc>
          <w:tcPr>
            <w:tcW w:w="7395" w:type="dxa"/>
            <w:vAlign w:val="center"/>
          </w:tcPr>
          <w:p>
            <w:pPr>
              <w:spacing w:line="400" w:lineRule="exact"/>
              <w:rPr>
                <w:rFonts w:hint="eastAsia" w:ascii="宋体" w:hAnsi="宋体" w:cs="宋体"/>
                <w:szCs w:val="21"/>
              </w:rPr>
            </w:pPr>
            <w:r>
              <w:rPr>
                <w:rFonts w:hint="eastAsia" w:ascii="宋体" w:hAnsi="宋体"/>
                <w:szCs w:val="21"/>
              </w:rPr>
              <w:t>采用自动传输、自动检测，</w:t>
            </w:r>
            <w:r>
              <w:rPr>
                <w:rFonts w:hint="eastAsia"/>
              </w:rPr>
              <w:t>进瓶处具有储存量低报警和最小量停机、并具有不连线时的</w:t>
            </w:r>
            <w:r>
              <w:rPr>
                <w:rFonts w:hint="eastAsia" w:ascii="宋体" w:hAnsi="宋体"/>
                <w:szCs w:val="21"/>
              </w:rPr>
              <w:t>人工进瓶功能</w:t>
            </w:r>
            <w:r>
              <w:rPr>
                <w:rFonts w:hint="eastAsia"/>
              </w:rPr>
              <w:t>，</w:t>
            </w:r>
            <w:r>
              <w:rPr>
                <w:rFonts w:hint="eastAsia" w:ascii="宋体" w:hAnsi="宋体" w:cs="宋体"/>
                <w:szCs w:val="21"/>
              </w:rPr>
              <w:t>进瓶区留出缓冲区，确保全速生产进瓶不倒瓶。</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08</w:t>
            </w:r>
          </w:p>
        </w:tc>
        <w:tc>
          <w:tcPr>
            <w:tcW w:w="7395" w:type="dxa"/>
            <w:vAlign w:val="center"/>
          </w:tcPr>
          <w:p>
            <w:pPr>
              <w:spacing w:line="400" w:lineRule="exact"/>
              <w:rPr>
                <w:rFonts w:ascii="宋体" w:hAnsi="宋体"/>
              </w:rPr>
            </w:pPr>
            <w:r>
              <w:rPr>
                <w:rFonts w:hint="eastAsia"/>
                <w:sz w:val="22"/>
              </w:rPr>
              <w:t>设备高压放电形成的臭氧需配备除臭氧装置</w:t>
            </w:r>
          </w:p>
        </w:tc>
        <w:tc>
          <w:tcPr>
            <w:tcW w:w="1260" w:type="dxa"/>
            <w:vAlign w:val="center"/>
          </w:tcPr>
          <w:p>
            <w:pPr>
              <w:spacing w:line="400" w:lineRule="exact"/>
              <w:jc w:val="center"/>
              <w:rPr>
                <w:rFonts w:ascii="宋体" w:hAnsi="宋体"/>
              </w:rPr>
            </w:pPr>
            <w:r>
              <w:rPr>
                <w:rFonts w:hint="eastAsia"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09</w:t>
            </w:r>
          </w:p>
        </w:tc>
        <w:tc>
          <w:tcPr>
            <w:tcW w:w="7395" w:type="dxa"/>
            <w:vAlign w:val="center"/>
          </w:tcPr>
          <w:p>
            <w:pPr>
              <w:spacing w:line="400" w:lineRule="exact"/>
              <w:rPr>
                <w:rFonts w:ascii="宋体" w:hAnsi="宋体"/>
              </w:rPr>
            </w:pPr>
            <w:r>
              <w:rPr>
                <w:rFonts w:hint="eastAsia"/>
                <w:sz w:val="22"/>
              </w:rPr>
              <w:t>设备供应商提供除臭氧装置方案，并负责现场的安装工作</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10</w:t>
            </w:r>
          </w:p>
        </w:tc>
        <w:tc>
          <w:tcPr>
            <w:tcW w:w="7395" w:type="dxa"/>
            <w:vAlign w:val="center"/>
          </w:tcPr>
          <w:p>
            <w:pPr>
              <w:spacing w:line="400" w:lineRule="exact"/>
              <w:rPr>
                <w:sz w:val="22"/>
              </w:rPr>
            </w:pPr>
            <w:r>
              <w:rPr>
                <w:rFonts w:hint="eastAsia"/>
                <w:sz w:val="22"/>
              </w:rPr>
              <w:t>检漏的电流、电压应可在触摸屏上显示，且电压方便调整</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11</w:t>
            </w:r>
          </w:p>
        </w:tc>
        <w:tc>
          <w:tcPr>
            <w:tcW w:w="7395" w:type="dxa"/>
            <w:vAlign w:val="center"/>
          </w:tcPr>
          <w:p>
            <w:pPr>
              <w:spacing w:line="400" w:lineRule="exact"/>
              <w:rPr>
                <w:rFonts w:hint="default" w:eastAsia="宋体"/>
                <w:sz w:val="22"/>
                <w:lang w:val="en-US" w:eastAsia="zh-CN"/>
              </w:rPr>
            </w:pPr>
            <w:r>
              <w:rPr>
                <w:rFonts w:hint="eastAsia"/>
                <w:sz w:val="22"/>
              </w:rPr>
              <w:t>提供对应瓶型</w:t>
            </w:r>
            <w:r>
              <w:rPr>
                <w:rFonts w:hint="eastAsia"/>
                <w:sz w:val="22"/>
                <w:lang w:val="en-US" w:eastAsia="zh-CN"/>
              </w:rPr>
              <w:t>功能标准样品10支（微孔尺寸为不大于10微米）</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12</w:t>
            </w:r>
          </w:p>
        </w:tc>
        <w:tc>
          <w:tcPr>
            <w:tcW w:w="7395" w:type="dxa"/>
            <w:vAlign w:val="center"/>
          </w:tcPr>
          <w:p>
            <w:pPr>
              <w:spacing w:line="400" w:lineRule="exact"/>
              <w:rPr>
                <w:rFonts w:hint="eastAsia" w:eastAsia="宋体"/>
                <w:sz w:val="22"/>
                <w:lang w:val="en-US" w:eastAsia="zh-CN"/>
              </w:rPr>
            </w:pPr>
            <w:r>
              <w:rPr>
                <w:rFonts w:hint="eastAsia"/>
                <w:sz w:val="22"/>
              </w:rPr>
              <w:t>检漏的实时状态应在触摸屏上实时显示</w:t>
            </w:r>
            <w:r>
              <w:rPr>
                <w:rFonts w:hint="eastAsia"/>
                <w:sz w:val="22"/>
                <w:lang w:val="en-US" w:eastAsia="zh-CN"/>
              </w:rPr>
              <w:t>曲线</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13</w:t>
            </w:r>
          </w:p>
        </w:tc>
        <w:tc>
          <w:tcPr>
            <w:tcW w:w="7395" w:type="dxa"/>
            <w:vAlign w:val="center"/>
          </w:tcPr>
          <w:p>
            <w:pPr>
              <w:spacing w:line="400" w:lineRule="exact"/>
              <w:rPr>
                <w:rFonts w:ascii="宋体" w:hAnsi="宋体"/>
              </w:rPr>
            </w:pPr>
            <w:r>
              <w:rPr>
                <w:rFonts w:hint="eastAsia" w:ascii="宋体" w:hAnsi="宋体" w:cs="Arial"/>
                <w:szCs w:val="21"/>
              </w:rPr>
              <w:t>配备一个合格品出料口；出料累积开关，联动停机及开机。</w:t>
            </w:r>
            <w:r>
              <w:rPr>
                <w:rFonts w:hint="eastAsia" w:ascii="宋体" w:hAnsi="宋体" w:cs="宋体"/>
                <w:szCs w:val="21"/>
              </w:rPr>
              <w:t>检漏合格的产品应直立整齐出瓶，确保全速生产出瓶不倒瓶。</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14</w:t>
            </w:r>
          </w:p>
        </w:tc>
        <w:tc>
          <w:tcPr>
            <w:tcW w:w="7395" w:type="dxa"/>
            <w:vAlign w:val="center"/>
          </w:tcPr>
          <w:p>
            <w:pPr>
              <w:spacing w:line="400" w:lineRule="exact"/>
              <w:rPr>
                <w:rFonts w:ascii="宋体" w:hAnsi="宋体"/>
              </w:rPr>
            </w:pPr>
            <w:r>
              <w:rPr>
                <w:rFonts w:hint="eastAsia" w:ascii="宋体" w:hAnsi="宋体"/>
              </w:rPr>
              <w:t>合格品出料可与下游生产线联动，且联动停机及开机，有堵料报警功能</w:t>
            </w:r>
          </w:p>
        </w:tc>
        <w:tc>
          <w:tcPr>
            <w:tcW w:w="1260" w:type="dxa"/>
            <w:vAlign w:val="center"/>
          </w:tcPr>
          <w:p>
            <w:pPr>
              <w:spacing w:line="400" w:lineRule="exact"/>
              <w:jc w:val="center"/>
              <w:rPr>
                <w:rFonts w:ascii="宋体" w:hAnsi="宋体"/>
              </w:rPr>
            </w:pPr>
            <w:r>
              <w:rPr>
                <w:rFonts w:hint="eastAsia"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15</w:t>
            </w:r>
          </w:p>
        </w:tc>
        <w:tc>
          <w:tcPr>
            <w:tcW w:w="7395" w:type="dxa"/>
            <w:vAlign w:val="center"/>
          </w:tcPr>
          <w:p>
            <w:pPr>
              <w:spacing w:line="400" w:lineRule="exac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配备一个不合格品出料口，与合格品出料口有物理分区，且具有防止混淆的机构</w:t>
            </w:r>
          </w:p>
        </w:tc>
        <w:tc>
          <w:tcPr>
            <w:tcW w:w="1260" w:type="dxa"/>
            <w:vAlign w:val="center"/>
          </w:tcPr>
          <w:p>
            <w:pPr>
              <w:spacing w:line="400" w:lineRule="exact"/>
              <w:jc w:val="center"/>
              <w:rPr>
                <w:rFonts w:ascii="宋体" w:hAnsi="宋体"/>
              </w:rPr>
            </w:pPr>
            <w:r>
              <w:rPr>
                <w:rFonts w:hint="eastAsia"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16</w:t>
            </w:r>
          </w:p>
        </w:tc>
        <w:tc>
          <w:tcPr>
            <w:tcW w:w="7395" w:type="dxa"/>
            <w:vAlign w:val="center"/>
          </w:tcPr>
          <w:p>
            <w:pPr>
              <w:spacing w:line="400" w:lineRule="exact"/>
              <w:rPr>
                <w:rFonts w:ascii="宋体" w:hAnsi="宋体"/>
              </w:rPr>
            </w:pPr>
            <w:r>
              <w:rPr>
                <w:rFonts w:hint="eastAsia" w:ascii="宋体" w:hAnsi="宋体"/>
              </w:rPr>
              <w:t>应配备操作员界面控制面板，并将其安装在设备上或设备附近。该面板应配备设备运行所需的开关、指示器以及相关装置，且该面板为触摸操作屏</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17</w:t>
            </w:r>
          </w:p>
        </w:tc>
        <w:tc>
          <w:tcPr>
            <w:tcW w:w="7395" w:type="dxa"/>
            <w:vAlign w:val="center"/>
          </w:tcPr>
          <w:p>
            <w:pPr>
              <w:spacing w:line="400" w:lineRule="exact"/>
              <w:rPr>
                <w:rFonts w:hint="eastAsia"/>
                <w:szCs w:val="21"/>
              </w:rPr>
            </w:pPr>
            <w:r>
              <w:rPr>
                <w:rFonts w:hint="eastAsia"/>
                <w:szCs w:val="21"/>
              </w:rPr>
              <w:t>触摸屏能够操作设备和观察设备运行状态，并可显示、设定、修改、存储设备关键运行参数，包括（但不限于）：生产速度、总检测数、合格品数量、不合格品数量、合格率、操作人、产品名称规格、批号、每个工位的剔除数</w:t>
            </w:r>
            <w:r>
              <w:rPr>
                <w:rFonts w:hint="eastAsia"/>
                <w:color w:val="auto"/>
                <w:szCs w:val="21"/>
              </w:rPr>
              <w:t>在批记录打印或导出的PDF中显示。</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18</w:t>
            </w:r>
          </w:p>
        </w:tc>
        <w:tc>
          <w:tcPr>
            <w:tcW w:w="7395" w:type="dxa"/>
            <w:vAlign w:val="center"/>
          </w:tcPr>
          <w:p>
            <w:pPr>
              <w:spacing w:line="400" w:lineRule="exact"/>
              <w:rPr>
                <w:rFonts w:ascii="宋体" w:hAnsi="宋体"/>
              </w:rPr>
            </w:pPr>
            <w:r>
              <w:rPr>
                <w:rFonts w:hint="eastAsia"/>
              </w:rPr>
              <w:t>应能具备参数存储调用功能针对不同品规的产品参数可直接调用，且开机时默认为上次开机参数</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19</w:t>
            </w:r>
          </w:p>
        </w:tc>
        <w:tc>
          <w:tcPr>
            <w:tcW w:w="7395" w:type="dxa"/>
            <w:vAlign w:val="center"/>
          </w:tcPr>
          <w:p>
            <w:pPr>
              <w:spacing w:line="400" w:lineRule="exact"/>
              <w:rPr>
                <w:rFonts w:hint="eastAsia" w:ascii="宋体" w:hAnsi="宋体"/>
              </w:rPr>
            </w:pPr>
            <w:r>
              <w:rPr>
                <w:rFonts w:hint="eastAsia" w:ascii="宋体" w:hAnsi="宋体"/>
                <w:color w:val="auto"/>
              </w:rPr>
              <w:t>系统能形成批数据和审计跟踪数据，</w:t>
            </w:r>
            <w:r>
              <w:rPr>
                <w:rFonts w:hint="eastAsia" w:ascii="Arial" w:hAnsi="Arial" w:cs="Arial"/>
                <w:color w:val="auto"/>
                <w:kern w:val="0"/>
                <w:sz w:val="22"/>
              </w:rPr>
              <w:t>并</w:t>
            </w:r>
            <w:r>
              <w:rPr>
                <w:rFonts w:ascii="Arial" w:hAnsi="Arial" w:cs="Arial"/>
                <w:color w:val="auto"/>
                <w:kern w:val="0"/>
                <w:sz w:val="22"/>
              </w:rPr>
              <w:t>能够保存为不可更改的PDF文件，可通过USB接口导出打印</w:t>
            </w:r>
            <w:r>
              <w:rPr>
                <w:rFonts w:hint="eastAsia" w:ascii="Arial" w:hAnsi="Arial" w:cs="Arial"/>
                <w:color w:val="auto"/>
                <w:kern w:val="0"/>
                <w:sz w:val="22"/>
              </w:rPr>
              <w:t>，</w:t>
            </w:r>
            <w:r>
              <w:rPr>
                <w:rFonts w:hint="eastAsia" w:ascii="宋体" w:hAnsi="宋体"/>
                <w:color w:val="auto"/>
              </w:rPr>
              <w:t>批记录应记录开始、结束时间，且可按时间和批次查询批数据记录，方便导出。</w:t>
            </w:r>
          </w:p>
        </w:tc>
        <w:tc>
          <w:tcPr>
            <w:tcW w:w="1260" w:type="dxa"/>
            <w:vAlign w:val="center"/>
          </w:tcPr>
          <w:p>
            <w:pPr>
              <w:spacing w:line="400" w:lineRule="exact"/>
              <w:jc w:val="center"/>
              <w:rPr>
                <w:rFonts w:ascii="宋体" w:hAnsi="宋体"/>
              </w:rPr>
            </w:pPr>
            <w:r>
              <w:rPr>
                <w:rFonts w:hint="eastAsia"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20</w:t>
            </w:r>
          </w:p>
        </w:tc>
        <w:tc>
          <w:tcPr>
            <w:tcW w:w="7395" w:type="dxa"/>
            <w:vAlign w:val="center"/>
          </w:tcPr>
          <w:p>
            <w:pPr>
              <w:spacing w:line="400" w:lineRule="exact"/>
              <w:rPr>
                <w:rFonts w:ascii="宋体" w:hAnsi="宋体"/>
              </w:rPr>
            </w:pPr>
            <w:r>
              <w:rPr>
                <w:rFonts w:hint="eastAsia" w:ascii="宋体" w:hAnsi="宋体"/>
              </w:rPr>
              <w:t>计数器反应灵敏，计数准确率100％；合格品数、废品数应单独显示</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21</w:t>
            </w:r>
          </w:p>
        </w:tc>
        <w:tc>
          <w:tcPr>
            <w:tcW w:w="7395" w:type="dxa"/>
            <w:vAlign w:val="center"/>
          </w:tcPr>
          <w:p>
            <w:pPr>
              <w:spacing w:line="400" w:lineRule="exact"/>
              <w:rPr>
                <w:rFonts w:ascii="宋体" w:hAnsi="宋体"/>
              </w:rPr>
            </w:pPr>
            <w:r>
              <w:rPr>
                <w:color w:val="000000"/>
              </w:rPr>
              <w:t>操作语言</w:t>
            </w:r>
            <w:r>
              <w:rPr>
                <w:rFonts w:hint="eastAsia"/>
                <w:color w:val="000000"/>
              </w:rPr>
              <w:t>：</w:t>
            </w:r>
            <w:r>
              <w:rPr>
                <w:color w:val="000000"/>
              </w:rPr>
              <w:t>操作面板上所有数据用中文或中英双语显示</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22</w:t>
            </w:r>
          </w:p>
        </w:tc>
        <w:tc>
          <w:tcPr>
            <w:tcW w:w="7395" w:type="dxa"/>
            <w:vAlign w:val="center"/>
          </w:tcPr>
          <w:p>
            <w:pPr>
              <w:spacing w:line="400" w:lineRule="exact"/>
              <w:rPr>
                <w:rFonts w:ascii="宋体" w:hAnsi="宋体"/>
              </w:rPr>
            </w:pPr>
            <w:r>
              <w:rPr>
                <w:rFonts w:hint="eastAsia" w:ascii="宋体" w:hAnsi="宋体"/>
                <w:szCs w:val="21"/>
              </w:rPr>
              <w:t>设备操作分为</w:t>
            </w:r>
            <w:r>
              <w:rPr>
                <w:rFonts w:ascii="宋体" w:hAnsi="宋体"/>
                <w:szCs w:val="21"/>
              </w:rPr>
              <w:t>自动模式、手动模式，两种模式可相互切换</w:t>
            </w:r>
          </w:p>
        </w:tc>
        <w:tc>
          <w:tcPr>
            <w:tcW w:w="1260" w:type="dxa"/>
            <w:vAlign w:val="center"/>
          </w:tcPr>
          <w:p>
            <w:pPr>
              <w:spacing w:line="400" w:lineRule="exact"/>
              <w:jc w:val="center"/>
              <w:rPr>
                <w:rFonts w:ascii="宋体" w:hAnsi="宋体"/>
              </w:rPr>
            </w:pPr>
            <w:r>
              <w:rPr>
                <w:rFonts w:hint="eastAsia"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jc w:val="center"/>
              <w:rPr>
                <w:rFonts w:ascii="宋体" w:hAnsi="宋体"/>
              </w:rPr>
            </w:pPr>
            <w:r>
              <w:rPr>
                <w:rFonts w:ascii="宋体" w:hAnsi="宋体"/>
              </w:rPr>
              <w:t>URS0</w:t>
            </w:r>
            <w:r>
              <w:rPr>
                <w:rFonts w:hint="eastAsia" w:ascii="宋体" w:hAnsi="宋体"/>
              </w:rPr>
              <w:t>23</w:t>
            </w:r>
          </w:p>
        </w:tc>
        <w:tc>
          <w:tcPr>
            <w:tcW w:w="7395" w:type="dxa"/>
            <w:vAlign w:val="center"/>
          </w:tcPr>
          <w:p>
            <w:pPr>
              <w:pStyle w:val="13"/>
              <w:tabs>
                <w:tab w:val="center" w:pos="2268"/>
                <w:tab w:val="right" w:pos="5387"/>
              </w:tabs>
              <w:spacing w:line="400" w:lineRule="exact"/>
              <w:rPr>
                <w:rFonts w:ascii="宋体" w:hAnsi="宋体"/>
                <w:sz w:val="24"/>
                <w:szCs w:val="24"/>
              </w:rPr>
            </w:pPr>
            <w:r>
              <w:rPr>
                <w:rFonts w:hint="eastAsia" w:ascii="宋体" w:hAnsi="宋体"/>
                <w:sz w:val="24"/>
                <w:szCs w:val="24"/>
              </w:rPr>
              <w:t>设备应有调试模式，此模式下具有点动功能</w:t>
            </w:r>
          </w:p>
        </w:tc>
        <w:tc>
          <w:tcPr>
            <w:tcW w:w="1260" w:type="dxa"/>
            <w:vAlign w:val="center"/>
          </w:tcPr>
          <w:p>
            <w:pPr>
              <w:spacing w:line="400" w:lineRule="exact"/>
              <w:jc w:val="center"/>
              <w:rPr>
                <w:rFonts w:ascii="宋体" w:hAnsi="宋体"/>
              </w:rPr>
            </w:pPr>
            <w:r>
              <w:rPr>
                <w:rFonts w:hint="eastAsia"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jc w:val="center"/>
              <w:rPr>
                <w:rFonts w:ascii="宋体" w:hAnsi="宋体"/>
              </w:rPr>
            </w:pPr>
            <w:r>
              <w:rPr>
                <w:rFonts w:ascii="宋体" w:hAnsi="宋体"/>
              </w:rPr>
              <w:t>URS0</w:t>
            </w:r>
            <w:r>
              <w:rPr>
                <w:rFonts w:hint="eastAsia" w:ascii="宋体" w:hAnsi="宋体"/>
              </w:rPr>
              <w:t>24</w:t>
            </w:r>
          </w:p>
        </w:tc>
        <w:tc>
          <w:tcPr>
            <w:tcW w:w="7395" w:type="dxa"/>
            <w:vAlign w:val="center"/>
          </w:tcPr>
          <w:p>
            <w:pPr>
              <w:pStyle w:val="13"/>
              <w:tabs>
                <w:tab w:val="center" w:pos="2268"/>
                <w:tab w:val="right" w:pos="5387"/>
              </w:tabs>
              <w:spacing w:line="400" w:lineRule="exact"/>
              <w:rPr>
                <w:rFonts w:hint="eastAsia" w:ascii="宋体" w:hAnsi="宋体"/>
                <w:sz w:val="24"/>
                <w:szCs w:val="24"/>
              </w:rPr>
            </w:pPr>
            <w:r>
              <w:rPr>
                <w:rFonts w:hint="eastAsia" w:ascii="宋体" w:hAnsi="宋体"/>
                <w:sz w:val="24"/>
                <w:szCs w:val="24"/>
              </w:rPr>
              <w:t>设备应具有不低于三级的权限管理，且最高级权限可分配用户的权限</w:t>
            </w:r>
          </w:p>
        </w:tc>
        <w:tc>
          <w:tcPr>
            <w:tcW w:w="1260" w:type="dxa"/>
            <w:vAlign w:val="center"/>
          </w:tcPr>
          <w:p>
            <w:pPr>
              <w:spacing w:line="40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jc w:val="center"/>
              <w:rPr>
                <w:rFonts w:ascii="宋体" w:hAnsi="宋体"/>
              </w:rPr>
            </w:pPr>
            <w:r>
              <w:rPr>
                <w:rFonts w:hint="eastAsia" w:ascii="宋体" w:hAnsi="宋体"/>
              </w:rPr>
              <w:t>URS025</w:t>
            </w:r>
          </w:p>
        </w:tc>
        <w:tc>
          <w:tcPr>
            <w:tcW w:w="7395" w:type="dxa"/>
            <w:vAlign w:val="center"/>
          </w:tcPr>
          <w:p>
            <w:pPr>
              <w:pStyle w:val="13"/>
              <w:tabs>
                <w:tab w:val="center" w:pos="2268"/>
                <w:tab w:val="right" w:pos="5387"/>
              </w:tabs>
              <w:spacing w:line="400" w:lineRule="exact"/>
              <w:rPr>
                <w:rFonts w:hint="eastAsia" w:ascii="宋体" w:hAnsi="宋体"/>
                <w:sz w:val="24"/>
                <w:szCs w:val="24"/>
              </w:rPr>
            </w:pPr>
            <w:r>
              <w:rPr>
                <w:rFonts w:hint="eastAsia" w:ascii="宋体" w:hAnsi="宋体"/>
                <w:sz w:val="24"/>
                <w:szCs w:val="24"/>
              </w:rPr>
              <w:t>预留通讯端口，可与下游设备进行连线通讯</w:t>
            </w:r>
          </w:p>
        </w:tc>
        <w:tc>
          <w:tcPr>
            <w:tcW w:w="1260" w:type="dxa"/>
            <w:vAlign w:val="center"/>
          </w:tcPr>
          <w:p>
            <w:pPr>
              <w:spacing w:line="400" w:lineRule="exact"/>
              <w:jc w:val="center"/>
              <w:rPr>
                <w:rFonts w:ascii="宋体" w:hAnsi="宋体"/>
              </w:rPr>
            </w:pPr>
            <w:r>
              <w:rPr>
                <w:rFonts w:hint="eastAsia"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jc w:val="center"/>
              <w:rPr>
                <w:rFonts w:ascii="宋体" w:hAnsi="宋体"/>
              </w:rPr>
            </w:pPr>
            <w:r>
              <w:rPr>
                <w:rFonts w:hint="eastAsia" w:ascii="宋体" w:hAnsi="宋体"/>
              </w:rPr>
              <w:t>URS026</w:t>
            </w:r>
          </w:p>
        </w:tc>
        <w:tc>
          <w:tcPr>
            <w:tcW w:w="7395" w:type="dxa"/>
            <w:vAlign w:val="center"/>
          </w:tcPr>
          <w:p>
            <w:pPr>
              <w:pStyle w:val="13"/>
              <w:tabs>
                <w:tab w:val="center" w:pos="2268"/>
                <w:tab w:val="right" w:pos="5387"/>
              </w:tabs>
              <w:spacing w:line="400" w:lineRule="exact"/>
              <w:rPr>
                <w:rFonts w:ascii="宋体" w:hAnsi="宋体"/>
                <w:caps/>
                <w:color w:val="000000" w:themeColor="text1"/>
                <w:sz w:val="24"/>
                <w:szCs w:val="24"/>
                <w14:textFill>
                  <w14:solidFill>
                    <w14:schemeClr w14:val="tx1"/>
                  </w14:solidFill>
                </w14:textFill>
              </w:rPr>
            </w:pPr>
            <w:r>
              <w:rPr>
                <w:rFonts w:hint="eastAsia" w:ascii="宋体" w:hAnsi="宋体"/>
                <w:caps/>
                <w:color w:val="000000" w:themeColor="text1"/>
                <w:sz w:val="24"/>
                <w:szCs w:val="24"/>
                <w14:textFill>
                  <w14:solidFill>
                    <w14:schemeClr w14:val="tx1"/>
                  </w14:solidFill>
                </w14:textFill>
              </w:rPr>
              <w:t>异常停机时，未经完全检测的产品与在线检测中的产品应能有效区分</w:t>
            </w:r>
          </w:p>
        </w:tc>
        <w:tc>
          <w:tcPr>
            <w:tcW w:w="1260" w:type="dxa"/>
            <w:vAlign w:val="center"/>
          </w:tcPr>
          <w:p>
            <w:pPr>
              <w:spacing w:line="400" w:lineRule="exact"/>
              <w:jc w:val="center"/>
              <w:rPr>
                <w:rFonts w:ascii="宋体" w:hAnsi="宋体"/>
              </w:rPr>
            </w:pPr>
            <w:r>
              <w:rPr>
                <w:rFonts w:hint="eastAsia"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vAlign w:val="center"/>
          </w:tcPr>
          <w:p>
            <w:pPr>
              <w:jc w:val="center"/>
              <w:rPr>
                <w:rFonts w:ascii="宋体" w:hAnsi="宋体"/>
              </w:rPr>
            </w:pPr>
            <w:r>
              <w:rPr>
                <w:rFonts w:hint="eastAsia" w:ascii="宋体" w:hAnsi="宋体"/>
              </w:rPr>
              <w:t>URS027</w:t>
            </w:r>
          </w:p>
        </w:tc>
        <w:tc>
          <w:tcPr>
            <w:tcW w:w="7395" w:type="dxa"/>
            <w:vAlign w:val="center"/>
          </w:tcPr>
          <w:p>
            <w:pPr>
              <w:pStyle w:val="13"/>
              <w:tabs>
                <w:tab w:val="center" w:pos="2268"/>
                <w:tab w:val="right" w:pos="5387"/>
              </w:tabs>
              <w:spacing w:line="400" w:lineRule="exact"/>
              <w:rPr>
                <w:rFonts w:ascii="宋体" w:hAnsi="宋体"/>
                <w:caps/>
                <w:color w:val="000000" w:themeColor="text1"/>
                <w:sz w:val="24"/>
                <w:szCs w:val="24"/>
                <w14:textFill>
                  <w14:solidFill>
                    <w14:schemeClr w14:val="tx1"/>
                  </w14:solidFill>
                </w14:textFill>
              </w:rPr>
            </w:pPr>
            <w:r>
              <w:rPr>
                <w:rFonts w:hint="eastAsia" w:ascii="宋体" w:hAnsi="宋体"/>
                <w:caps/>
                <w:color w:val="000000" w:themeColor="text1"/>
                <w:sz w:val="24"/>
                <w:szCs w:val="24"/>
                <w14:textFill>
                  <w14:solidFill>
                    <w14:schemeClr w14:val="tx1"/>
                  </w14:solidFill>
                </w14:textFill>
              </w:rPr>
              <w:t>设备更换规格方便；设备尽量采用标准件，规格件更换少，更换方便</w:t>
            </w:r>
          </w:p>
        </w:tc>
        <w:tc>
          <w:tcPr>
            <w:tcW w:w="1260" w:type="dxa"/>
            <w:vAlign w:val="center"/>
          </w:tcPr>
          <w:p>
            <w:pPr>
              <w:spacing w:line="400" w:lineRule="exact"/>
              <w:jc w:val="center"/>
              <w:rPr>
                <w:rFonts w:ascii="宋体" w:hAnsi="宋体"/>
              </w:rPr>
            </w:pPr>
            <w:r>
              <w:rPr>
                <w:rFonts w:hint="eastAsia" w:ascii="宋体" w:hAnsi="宋体"/>
              </w:rPr>
              <w:t>必需</w:t>
            </w:r>
          </w:p>
        </w:tc>
      </w:tr>
    </w:tbl>
    <w:p>
      <w:pPr>
        <w:pStyle w:val="3"/>
        <w:rPr>
          <w:rFonts w:ascii="宋体" w:hAnsi="宋体"/>
          <w:bCs/>
          <w:kern w:val="44"/>
          <w:szCs w:val="44"/>
        </w:rPr>
      </w:pPr>
      <w:bookmarkStart w:id="59" w:name="_Toc23165141"/>
      <w:bookmarkStart w:id="60" w:name="_Toc434475898"/>
      <w:bookmarkStart w:id="61" w:name="_Toc398735240"/>
      <w:r>
        <w:rPr>
          <w:rFonts w:hint="eastAsia" w:ascii="宋体" w:hAnsi="宋体"/>
          <w:color w:val="000000"/>
        </w:rPr>
        <w:t>厂房设施及公用系统要求</w:t>
      </w:r>
      <w:bookmarkEnd w:id="59"/>
    </w:p>
    <w:tbl>
      <w:tblPr>
        <w:tblStyle w:val="24"/>
        <w:tblW w:w="9975" w:type="dxa"/>
        <w:tblInd w:w="-112"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7145"/>
        <w:gridCol w:w="135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145"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350" w:type="dxa"/>
            <w:shd w:val="clear" w:color="auto" w:fill="C0C0C0"/>
            <w:vAlign w:val="center"/>
          </w:tcPr>
          <w:p>
            <w:pPr>
              <w:pStyle w:val="69"/>
              <w:tabs>
                <w:tab w:val="center" w:pos="2268"/>
                <w:tab w:val="right" w:pos="5387"/>
                <w:tab w:val="clear" w:pos="4820"/>
                <w:tab w:val="clear" w:pos="9639"/>
              </w:tabs>
              <w:snapToGrid w:val="0"/>
              <w:spacing w:before="0" w:after="0" w:line="36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480" w:type="dxa"/>
            <w:vAlign w:val="center"/>
          </w:tcPr>
          <w:p>
            <w:pPr>
              <w:jc w:val="center"/>
              <w:rPr>
                <w:rFonts w:ascii="宋体" w:hAnsi="宋体"/>
              </w:rPr>
            </w:pPr>
            <w:r>
              <w:rPr>
                <w:rFonts w:ascii="宋体" w:hAnsi="宋体"/>
              </w:rPr>
              <w:t>URS0</w:t>
            </w:r>
            <w:r>
              <w:rPr>
                <w:rFonts w:hint="eastAsia" w:ascii="宋体" w:hAnsi="宋体"/>
              </w:rPr>
              <w:t>28</w:t>
            </w:r>
          </w:p>
        </w:tc>
        <w:tc>
          <w:tcPr>
            <w:tcW w:w="7145" w:type="dxa"/>
            <w:vAlign w:val="center"/>
          </w:tcPr>
          <w:p>
            <w:pPr>
              <w:rPr>
                <w:rFonts w:ascii="宋体" w:hAnsi="宋体"/>
              </w:rPr>
            </w:pPr>
            <w:r>
              <w:rPr>
                <w:rFonts w:hint="eastAsia"/>
                <w:sz w:val="22"/>
              </w:rPr>
              <w:t>需求方提供设备安装位置平面图（见附件），供应商需根据平面图布置设备并标注出设备安装所需要的所有介质要求（安装位置、参数要求）</w:t>
            </w:r>
          </w:p>
        </w:tc>
        <w:tc>
          <w:tcPr>
            <w:tcW w:w="1350" w:type="dxa"/>
            <w:vAlign w:val="center"/>
          </w:tcPr>
          <w:p>
            <w:pPr>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48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29</w:t>
            </w:r>
          </w:p>
        </w:tc>
        <w:tc>
          <w:tcPr>
            <w:tcW w:w="7145" w:type="dxa"/>
            <w:vAlign w:val="center"/>
          </w:tcPr>
          <w:p>
            <w:pPr>
              <w:pStyle w:val="71"/>
              <w:spacing w:before="0"/>
              <w:rPr>
                <w:rFonts w:ascii="宋体" w:hAnsi="宋体"/>
                <w:szCs w:val="24"/>
                <w:lang w:eastAsia="zh-CN"/>
              </w:rPr>
            </w:pPr>
            <w:r>
              <w:rPr>
                <w:rFonts w:hint="eastAsia"/>
                <w:sz w:val="22"/>
                <w:lang w:eastAsia="zh-CN"/>
              </w:rPr>
              <w:t>设备的压缩空气管道接口等均设置为快拆（装）接头，在压缩空气压力0.45-0.6MPa的条件下，设备能正常生产。</w:t>
            </w:r>
          </w:p>
        </w:tc>
        <w:tc>
          <w:tcPr>
            <w:tcW w:w="1350" w:type="dxa"/>
            <w:vAlign w:val="center"/>
          </w:tcPr>
          <w:p>
            <w:pPr>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480" w:type="dxa"/>
            <w:vAlign w:val="center"/>
          </w:tcPr>
          <w:p>
            <w:pPr>
              <w:pStyle w:val="6"/>
              <w:numPr>
                <w:ilvl w:val="0"/>
                <w:numId w:val="0"/>
              </w:numPr>
              <w:jc w:val="center"/>
              <w:rPr>
                <w:rFonts w:ascii="宋体" w:hAnsi="宋体"/>
              </w:rPr>
            </w:pPr>
            <w:r>
              <w:rPr>
                <w:rFonts w:ascii="宋体" w:hAnsi="宋体"/>
              </w:rPr>
              <w:t>URS</w:t>
            </w:r>
            <w:r>
              <w:rPr>
                <w:rFonts w:hint="eastAsia" w:ascii="宋体" w:hAnsi="宋体"/>
              </w:rPr>
              <w:t>030</w:t>
            </w:r>
          </w:p>
        </w:tc>
        <w:tc>
          <w:tcPr>
            <w:tcW w:w="7145" w:type="dxa"/>
            <w:vAlign w:val="center"/>
          </w:tcPr>
          <w:p>
            <w:pPr>
              <w:rPr>
                <w:rFonts w:ascii="宋体" w:hAnsi="宋体"/>
              </w:rPr>
            </w:pPr>
            <w:r>
              <w:rPr>
                <w:rFonts w:hint="eastAsia"/>
                <w:sz w:val="22"/>
              </w:rPr>
              <w:t>该设备安装环境为一般区，该设备能在环境温度为＜40℃，相对湿度＜65% 的环境下使用</w:t>
            </w:r>
          </w:p>
        </w:tc>
        <w:tc>
          <w:tcPr>
            <w:tcW w:w="1350" w:type="dxa"/>
            <w:vAlign w:val="center"/>
          </w:tcPr>
          <w:p>
            <w:pPr>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480"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31</w:t>
            </w:r>
          </w:p>
        </w:tc>
        <w:tc>
          <w:tcPr>
            <w:tcW w:w="7145" w:type="dxa"/>
            <w:vAlign w:val="center"/>
          </w:tcPr>
          <w:p>
            <w:pPr>
              <w:rPr>
                <w:sz w:val="22"/>
              </w:rPr>
            </w:pPr>
            <w:r>
              <w:rPr>
                <w:rFonts w:hint="eastAsia"/>
                <w:sz w:val="22"/>
              </w:rPr>
              <w:t>设备电压、频率应符合中国工业现状：电压380V/220V+5%，频率50Hz</w:t>
            </w:r>
          </w:p>
        </w:tc>
        <w:tc>
          <w:tcPr>
            <w:tcW w:w="1350" w:type="dxa"/>
            <w:vAlign w:val="center"/>
          </w:tcPr>
          <w:p>
            <w:pPr>
              <w:jc w:val="center"/>
              <w:rPr>
                <w:rFonts w:ascii="宋体" w:hAnsi="宋体"/>
              </w:rPr>
            </w:pPr>
            <w:r>
              <w:rPr>
                <w:rFonts w:ascii="宋体" w:hAnsi="宋体"/>
              </w:rPr>
              <w:t>必需</w:t>
            </w:r>
          </w:p>
        </w:tc>
      </w:tr>
      <w:bookmarkEnd w:id="60"/>
      <w:bookmarkEnd w:id="61"/>
    </w:tbl>
    <w:p>
      <w:pPr>
        <w:pStyle w:val="3"/>
        <w:rPr>
          <w:rFonts w:ascii="宋体" w:hAnsi="宋体"/>
          <w:color w:val="000000"/>
        </w:rPr>
      </w:pPr>
      <w:bookmarkStart w:id="62" w:name="_Toc23165142"/>
      <w:r>
        <w:rPr>
          <w:rFonts w:hint="eastAsia" w:ascii="宋体" w:hAnsi="宋体"/>
          <w:color w:val="000000"/>
        </w:rPr>
        <w:t>设备机械部分、系统、部件和外观的要求</w:t>
      </w:r>
      <w:bookmarkEnd w:id="62"/>
    </w:p>
    <w:tbl>
      <w:tblPr>
        <w:tblStyle w:val="24"/>
        <w:tblW w:w="9885" w:type="dxa"/>
        <w:tblInd w:w="-21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7215"/>
        <w:gridCol w:w="139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275"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215"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395" w:type="dxa"/>
            <w:shd w:val="clear" w:color="auto" w:fill="C0C0C0"/>
            <w:vAlign w:val="center"/>
          </w:tcPr>
          <w:p>
            <w:pPr>
              <w:pStyle w:val="69"/>
              <w:tabs>
                <w:tab w:val="center" w:pos="2268"/>
                <w:tab w:val="right" w:pos="5387"/>
                <w:tab w:val="clear" w:pos="4820"/>
                <w:tab w:val="clear" w:pos="9639"/>
              </w:tabs>
              <w:snapToGrid w:val="0"/>
              <w:spacing w:before="0" w:after="0" w:line="36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w:t>
            </w:r>
            <w:r>
              <w:rPr>
                <w:rFonts w:ascii="宋体" w:hAnsi="宋体"/>
                <w:b w:val="0"/>
                <w:color w:val="000000"/>
              </w:rPr>
              <w:t>需</w:t>
            </w:r>
            <w:r>
              <w:rPr>
                <w:rFonts w:ascii="宋体" w:hAnsi="宋体"/>
                <w:b w:val="0"/>
                <w:caps w:val="0"/>
                <w:color w:val="000000"/>
                <w:kern w:val="2"/>
                <w:lang w:val="en-US" w:eastAsia="zh-CN"/>
              </w:rPr>
              <w:t>/期望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75"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32</w:t>
            </w:r>
          </w:p>
        </w:tc>
        <w:tc>
          <w:tcPr>
            <w:tcW w:w="7215" w:type="dxa"/>
          </w:tcPr>
          <w:p>
            <w:pPr>
              <w:pStyle w:val="71"/>
              <w:spacing w:before="0" w:line="360" w:lineRule="exact"/>
              <w:jc w:val="left"/>
              <w:rPr>
                <w:rFonts w:ascii="宋体" w:hAnsi="宋体"/>
                <w:szCs w:val="24"/>
                <w:lang w:val="it-IT" w:eastAsia="zh-CN"/>
              </w:rPr>
            </w:pPr>
            <w:r>
              <w:rPr>
                <w:rFonts w:hint="eastAsia" w:ascii="宋体" w:hAnsi="宋体"/>
                <w:szCs w:val="24"/>
                <w:lang w:val="it-IT" w:eastAsia="zh-CN"/>
              </w:rPr>
              <w:t>设备应符合人体工程学原理，应调整便捷、清场方便；设备密封性良好；不同产品规格的模具更换和参数设置的改变应易于操作</w:t>
            </w:r>
          </w:p>
        </w:tc>
        <w:tc>
          <w:tcPr>
            <w:tcW w:w="1395"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75"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33</w:t>
            </w:r>
          </w:p>
        </w:tc>
        <w:tc>
          <w:tcPr>
            <w:tcW w:w="7215" w:type="dxa"/>
            <w:vAlign w:val="center"/>
          </w:tcPr>
          <w:p>
            <w:pPr>
              <w:pStyle w:val="70"/>
              <w:widowControl w:val="0"/>
              <w:adjustRightInd w:val="0"/>
              <w:snapToGrid w:val="0"/>
              <w:spacing w:before="0" w:after="0"/>
              <w:rPr>
                <w:rFonts w:hint="eastAsia" w:ascii="宋体" w:hAnsi="宋体"/>
                <w:color w:val="auto"/>
                <w:sz w:val="24"/>
                <w:szCs w:val="24"/>
                <w:lang w:val="it-IT" w:eastAsia="zh-CN"/>
              </w:rPr>
            </w:pPr>
            <w:r>
              <w:rPr>
                <w:rFonts w:hint="eastAsia" w:ascii="宋体" w:hAnsi="宋体"/>
                <w:color w:val="auto"/>
                <w:sz w:val="24"/>
                <w:szCs w:val="24"/>
                <w:lang w:val="it-IT" w:eastAsia="zh-CN"/>
              </w:rPr>
              <w:t>设备主体材质应为304不锈钢或者或者具有良好的防锈措施，其它部件应可有效防止变形和腐蚀，设备表面及操作区域无尖角</w:t>
            </w:r>
          </w:p>
          <w:p>
            <w:pPr>
              <w:pStyle w:val="70"/>
              <w:widowControl w:val="0"/>
              <w:adjustRightInd w:val="0"/>
              <w:snapToGrid w:val="0"/>
              <w:spacing w:before="0" w:after="0"/>
              <w:rPr>
                <w:rFonts w:hint="eastAsia" w:ascii="宋体" w:hAnsi="宋体"/>
                <w:color w:val="auto"/>
                <w:sz w:val="24"/>
                <w:szCs w:val="24"/>
                <w:lang w:val="it-IT" w:eastAsia="zh-CN"/>
              </w:rPr>
            </w:pPr>
          </w:p>
        </w:tc>
        <w:tc>
          <w:tcPr>
            <w:tcW w:w="1395"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75"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34</w:t>
            </w:r>
          </w:p>
        </w:tc>
        <w:tc>
          <w:tcPr>
            <w:tcW w:w="7215" w:type="dxa"/>
            <w:vAlign w:val="center"/>
          </w:tcPr>
          <w:p>
            <w:pPr>
              <w:adjustRightInd w:val="0"/>
              <w:spacing w:line="312" w:lineRule="atLeast"/>
              <w:textAlignment w:val="baseline"/>
              <w:rPr>
                <w:rFonts w:ascii="宋体" w:hAnsi="宋体"/>
                <w:color w:val="auto"/>
              </w:rPr>
            </w:pPr>
            <w:r>
              <w:rPr>
                <w:rFonts w:hint="eastAsia" w:ascii="宋体" w:hAnsi="宋体"/>
                <w:color w:val="auto"/>
              </w:rPr>
              <w:t>设备的表面需光滑平整，</w:t>
            </w:r>
            <w:r>
              <w:rPr>
                <w:rFonts w:hint="eastAsia" w:ascii="宋体" w:hAnsi="宋体"/>
                <w:color w:val="auto"/>
                <w:lang w:val="it-IT"/>
              </w:rPr>
              <w:t>设备外露表面粗糙度≤0.8μm，</w:t>
            </w:r>
            <w:r>
              <w:rPr>
                <w:rFonts w:hint="eastAsia" w:ascii="宋体" w:hAnsi="宋体"/>
                <w:color w:val="auto"/>
              </w:rPr>
              <w:t>利于玻屑及药液的清理，外表面不锈钢制做亚光处理；钢件结构应有良好的防锈处理；</w:t>
            </w:r>
          </w:p>
        </w:tc>
        <w:tc>
          <w:tcPr>
            <w:tcW w:w="1395"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75"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35</w:t>
            </w:r>
          </w:p>
        </w:tc>
        <w:tc>
          <w:tcPr>
            <w:tcW w:w="7215" w:type="dxa"/>
            <w:vAlign w:val="center"/>
          </w:tcPr>
          <w:p>
            <w:pPr>
              <w:spacing w:line="400" w:lineRule="exact"/>
              <w:rPr>
                <w:rFonts w:ascii="宋体" w:hAnsi="宋体"/>
              </w:rPr>
            </w:pPr>
            <w:r>
              <w:rPr>
                <w:rFonts w:hint="eastAsia" w:ascii="宋体" w:hAnsi="宋体"/>
              </w:rPr>
              <w:t>进瓶网带应平展，安瓿前进时不倒瓶；网带为不吸水材质，便于清洁。</w:t>
            </w:r>
          </w:p>
        </w:tc>
        <w:tc>
          <w:tcPr>
            <w:tcW w:w="1395"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75"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36</w:t>
            </w:r>
          </w:p>
        </w:tc>
        <w:tc>
          <w:tcPr>
            <w:tcW w:w="7215" w:type="dxa"/>
            <w:vAlign w:val="center"/>
          </w:tcPr>
          <w:p>
            <w:pPr>
              <w:spacing w:line="400" w:lineRule="exact"/>
              <w:rPr>
                <w:rFonts w:ascii="宋体" w:hAnsi="宋体"/>
              </w:rPr>
            </w:pPr>
            <w:r>
              <w:rPr>
                <w:rFonts w:hint="eastAsia"/>
                <w:szCs w:val="21"/>
              </w:rPr>
              <w:t>所有焊缝需经抛光处理，设备表面拉丝或亚光处理，特别是缓冲传送带处的处理</w:t>
            </w:r>
          </w:p>
        </w:tc>
        <w:tc>
          <w:tcPr>
            <w:tcW w:w="1395"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75"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37</w:t>
            </w:r>
          </w:p>
        </w:tc>
        <w:tc>
          <w:tcPr>
            <w:tcW w:w="7215" w:type="dxa"/>
            <w:vAlign w:val="center"/>
          </w:tcPr>
          <w:p>
            <w:pPr>
              <w:spacing w:line="400" w:lineRule="exact"/>
              <w:rPr>
                <w:rFonts w:ascii="宋体" w:hAnsi="宋体"/>
                <w:szCs w:val="21"/>
              </w:rPr>
            </w:pPr>
            <w:r>
              <w:rPr>
                <w:rFonts w:hint="eastAsia" w:ascii="宋体" w:hAnsi="宋体"/>
                <w:szCs w:val="21"/>
              </w:rPr>
              <w:t>设备招标时提供设备易损件清单，设备使用一年的易损件</w:t>
            </w:r>
          </w:p>
        </w:tc>
        <w:tc>
          <w:tcPr>
            <w:tcW w:w="1395" w:type="dxa"/>
            <w:vAlign w:val="center"/>
          </w:tcPr>
          <w:p>
            <w:pPr>
              <w:spacing w:line="360" w:lineRule="exact"/>
              <w:jc w:val="center"/>
              <w:rPr>
                <w:rFonts w:hint="eastAsia" w:ascii="宋体" w:hAnsi="宋体"/>
              </w:rPr>
            </w:pPr>
            <w:r>
              <w:rPr>
                <w:rFonts w:hint="eastAsia" w:ascii="宋体" w:hAnsi="宋体"/>
              </w:rPr>
              <w:t>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75"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38</w:t>
            </w:r>
          </w:p>
        </w:tc>
        <w:tc>
          <w:tcPr>
            <w:tcW w:w="7215" w:type="dxa"/>
            <w:vAlign w:val="center"/>
          </w:tcPr>
          <w:p>
            <w:pPr>
              <w:spacing w:line="400" w:lineRule="exact"/>
              <w:rPr>
                <w:rFonts w:ascii="宋体" w:hAnsi="宋体"/>
                <w:szCs w:val="21"/>
              </w:rPr>
            </w:pPr>
            <w:r>
              <w:rPr>
                <w:rFonts w:hint="eastAsia" w:ascii="宋体" w:hAnsi="宋体" w:cs="Arial"/>
                <w:szCs w:val="21"/>
              </w:rPr>
              <w:t>设备表面避免使用不易清洁的螺帽及沉头螺栓。设备所有台面立柱倒角设计</w:t>
            </w:r>
          </w:p>
        </w:tc>
        <w:tc>
          <w:tcPr>
            <w:tcW w:w="1395"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75"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39</w:t>
            </w:r>
          </w:p>
        </w:tc>
        <w:tc>
          <w:tcPr>
            <w:tcW w:w="7215" w:type="dxa"/>
            <w:vAlign w:val="center"/>
          </w:tcPr>
          <w:p>
            <w:pPr>
              <w:spacing w:line="400" w:lineRule="exact"/>
              <w:rPr>
                <w:rFonts w:ascii="宋体" w:hAnsi="宋体" w:cs="Arial"/>
                <w:szCs w:val="21"/>
              </w:rPr>
            </w:pPr>
            <w:r>
              <w:rPr>
                <w:rFonts w:hint="eastAsia" w:ascii="宋体" w:hAnsi="宋体" w:cs="宋体"/>
                <w:szCs w:val="21"/>
              </w:rPr>
              <w:t>设备传动部件易于拆装、清洁</w:t>
            </w:r>
            <w:r>
              <w:rPr>
                <w:rFonts w:hint="eastAsia" w:ascii="宋体" w:hAnsi="宋体" w:cs="Arial"/>
                <w:szCs w:val="21"/>
              </w:rPr>
              <w:t>、</w:t>
            </w:r>
            <w:r>
              <w:rPr>
                <w:rFonts w:hint="eastAsia" w:ascii="宋体" w:hAnsi="宋体" w:cs="宋体"/>
                <w:szCs w:val="21"/>
              </w:rPr>
              <w:t>无清洁死角</w:t>
            </w:r>
          </w:p>
        </w:tc>
        <w:tc>
          <w:tcPr>
            <w:tcW w:w="1395"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75"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40</w:t>
            </w:r>
          </w:p>
        </w:tc>
        <w:tc>
          <w:tcPr>
            <w:tcW w:w="7215" w:type="dxa"/>
            <w:vAlign w:val="center"/>
          </w:tcPr>
          <w:p>
            <w:pPr>
              <w:spacing w:line="400" w:lineRule="exact"/>
              <w:rPr>
                <w:rFonts w:ascii="宋体" w:hAnsi="宋体" w:cs="宋体"/>
                <w:szCs w:val="21"/>
              </w:rPr>
            </w:pPr>
            <w:r>
              <w:rPr>
                <w:rFonts w:hint="eastAsia" w:ascii="宋体" w:hAnsi="宋体" w:cs="Arial"/>
                <w:szCs w:val="21"/>
              </w:rPr>
              <w:t>对设备零部件润滑部位的清洁、润滑操作方便。润滑油为无毒、食品级，不挥发，</w:t>
            </w:r>
            <w:r>
              <w:rPr>
                <w:rFonts w:hint="eastAsia" w:ascii="宋体" w:hAnsi="宋体"/>
                <w:szCs w:val="21"/>
              </w:rPr>
              <w:t>并附有证书。</w:t>
            </w:r>
            <w:r>
              <w:rPr>
                <w:rFonts w:hint="eastAsia" w:ascii="宋体" w:hAnsi="宋体" w:cs="Arial"/>
                <w:szCs w:val="21"/>
              </w:rPr>
              <w:t>提交所有润滑点的详细说明。</w:t>
            </w:r>
          </w:p>
        </w:tc>
        <w:tc>
          <w:tcPr>
            <w:tcW w:w="1395"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75"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41</w:t>
            </w:r>
          </w:p>
        </w:tc>
        <w:tc>
          <w:tcPr>
            <w:tcW w:w="7215" w:type="dxa"/>
            <w:vAlign w:val="center"/>
          </w:tcPr>
          <w:p>
            <w:pPr>
              <w:spacing w:line="400" w:lineRule="exact"/>
              <w:rPr>
                <w:rFonts w:ascii="宋体" w:hAnsi="宋体" w:cs="Arial"/>
                <w:szCs w:val="21"/>
              </w:rPr>
            </w:pPr>
            <w:r>
              <w:rPr>
                <w:color w:val="000000"/>
                <w:spacing w:val="8"/>
              </w:rPr>
              <w:t>对主要的零部件、易损件、规格件进行编码</w:t>
            </w:r>
            <w:r>
              <w:rPr>
                <w:rFonts w:hint="eastAsia" w:ascii="宋体" w:hAnsi="宋体" w:cs="Arial"/>
                <w:szCs w:val="21"/>
              </w:rPr>
              <w:t xml:space="preserve"> </w:t>
            </w:r>
          </w:p>
        </w:tc>
        <w:tc>
          <w:tcPr>
            <w:tcW w:w="1395" w:type="dxa"/>
            <w:vAlign w:val="center"/>
          </w:tcPr>
          <w:p>
            <w:pPr>
              <w:spacing w:line="360" w:lineRule="exact"/>
              <w:jc w:val="center"/>
              <w:rPr>
                <w:rFonts w:hint="eastAsia" w:ascii="宋体" w:hAnsi="宋体"/>
              </w:rPr>
            </w:pPr>
            <w:r>
              <w:rPr>
                <w:rFonts w:hint="eastAsia" w:ascii="宋体" w:hAnsi="宋体"/>
              </w:rPr>
              <w:t>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75"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42</w:t>
            </w:r>
          </w:p>
        </w:tc>
        <w:tc>
          <w:tcPr>
            <w:tcW w:w="7215" w:type="dxa"/>
            <w:vAlign w:val="center"/>
          </w:tcPr>
          <w:p>
            <w:pPr>
              <w:spacing w:line="400" w:lineRule="exact"/>
              <w:rPr>
                <w:color w:val="000000"/>
                <w:spacing w:val="8"/>
              </w:rPr>
            </w:pPr>
            <w:r>
              <w:rPr>
                <w:rFonts w:hint="eastAsia"/>
                <w:szCs w:val="21"/>
              </w:rPr>
              <w:t>本文中所有涉及材质要求的应提供材质证明</w:t>
            </w:r>
          </w:p>
        </w:tc>
        <w:tc>
          <w:tcPr>
            <w:tcW w:w="1395" w:type="dxa"/>
            <w:vAlign w:val="center"/>
          </w:tcPr>
          <w:p>
            <w:pPr>
              <w:spacing w:line="360" w:lineRule="exact"/>
              <w:jc w:val="center"/>
              <w:rPr>
                <w:rFonts w:ascii="宋体" w:hAnsi="宋体"/>
              </w:rPr>
            </w:pPr>
            <w:r>
              <w:rPr>
                <w:rFonts w:ascii="宋体" w:hAnsi="宋体"/>
              </w:rPr>
              <w:t>必需</w:t>
            </w:r>
          </w:p>
        </w:tc>
      </w:tr>
    </w:tbl>
    <w:p>
      <w:pPr>
        <w:pStyle w:val="3"/>
        <w:rPr>
          <w:rFonts w:ascii="宋体" w:hAnsi="宋体"/>
        </w:rPr>
      </w:pPr>
      <w:bookmarkStart w:id="63" w:name="_Toc391024676"/>
      <w:bookmarkEnd w:id="63"/>
      <w:bookmarkStart w:id="64" w:name="_Toc391024452"/>
      <w:bookmarkEnd w:id="64"/>
      <w:bookmarkStart w:id="65" w:name="_Toc17588"/>
      <w:bookmarkStart w:id="66" w:name="_Toc434475900"/>
      <w:bookmarkStart w:id="67" w:name="_Toc394050858"/>
      <w:bookmarkStart w:id="68" w:name="_Toc398735241"/>
      <w:bookmarkStart w:id="69" w:name="_Toc10796"/>
      <w:bookmarkStart w:id="70" w:name="_Toc388275791"/>
      <w:r>
        <w:rPr>
          <w:rFonts w:ascii="宋体" w:hAnsi="宋体"/>
        </w:rPr>
        <w:t xml:space="preserve"> </w:t>
      </w:r>
      <w:bookmarkEnd w:id="65"/>
      <w:bookmarkEnd w:id="66"/>
      <w:bookmarkEnd w:id="67"/>
      <w:bookmarkEnd w:id="68"/>
      <w:bookmarkEnd w:id="69"/>
      <w:bookmarkEnd w:id="70"/>
      <w:bookmarkStart w:id="71" w:name="_Toc23165143"/>
      <w:bookmarkStart w:id="72" w:name="_Toc149552407"/>
      <w:bookmarkStart w:id="73" w:name="_Toc175049534"/>
      <w:r>
        <w:rPr>
          <w:rFonts w:hint="eastAsia" w:ascii="宋体" w:hAnsi="宋体"/>
          <w:color w:val="000000"/>
        </w:rPr>
        <w:t>电气自控要求</w:t>
      </w:r>
      <w:bookmarkEnd w:id="71"/>
    </w:p>
    <w:tbl>
      <w:tblPr>
        <w:tblStyle w:val="24"/>
        <w:tblW w:w="9915" w:type="dxa"/>
        <w:tblInd w:w="-24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7185"/>
        <w:gridCol w:w="144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290"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185"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440" w:type="dxa"/>
            <w:shd w:val="clear" w:color="auto" w:fill="C0C0C0"/>
            <w:vAlign w:val="center"/>
          </w:tcPr>
          <w:p>
            <w:pPr>
              <w:pStyle w:val="69"/>
              <w:tabs>
                <w:tab w:val="center" w:pos="2268"/>
                <w:tab w:val="right" w:pos="5387"/>
                <w:tab w:val="clear" w:pos="4820"/>
                <w:tab w:val="clear" w:pos="9639"/>
              </w:tabs>
              <w:snapToGrid w:val="0"/>
              <w:spacing w:before="0" w:after="0" w:line="36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43</w:t>
            </w:r>
          </w:p>
        </w:tc>
        <w:tc>
          <w:tcPr>
            <w:tcW w:w="7185" w:type="dxa"/>
            <w:vAlign w:val="center"/>
          </w:tcPr>
          <w:p>
            <w:pPr>
              <w:spacing w:line="360" w:lineRule="exact"/>
              <w:ind w:left="11"/>
              <w:rPr>
                <w:rFonts w:ascii="宋体" w:hAnsi="宋体" w:cs="Arial"/>
              </w:rPr>
            </w:pPr>
            <w:r>
              <w:rPr>
                <w:rFonts w:hint="eastAsia" w:ascii="宋体" w:hAnsi="宋体" w:cs="Arial"/>
                <w:color w:val="000000" w:themeColor="text1"/>
                <w14:textFill>
                  <w14:solidFill>
                    <w14:schemeClr w14:val="tx1"/>
                  </w14:solidFill>
                </w14:textFill>
              </w:rPr>
              <w:t>电气控制柜应安装在适当位置，外壳应为304不锈钢材质。</w:t>
            </w:r>
            <w:r>
              <w:rPr>
                <w:rFonts w:hint="eastAsia" w:ascii="宋体" w:hAnsi="宋体" w:cs="Arial"/>
                <w:color w:val="000000" w:themeColor="text1"/>
                <w:szCs w:val="21"/>
                <w14:textFill>
                  <w14:solidFill>
                    <w14:schemeClr w14:val="tx1"/>
                  </w14:solidFill>
                </w14:textFill>
              </w:rPr>
              <w:t>电气元件应选用三菱、施耐德等知名品牌</w:t>
            </w:r>
            <w:r>
              <w:rPr>
                <w:rFonts w:hint="eastAsia" w:ascii="宋体" w:hAnsi="宋体" w:cs="Arial"/>
                <w:color w:val="FF0000"/>
                <w:szCs w:val="21"/>
              </w:rPr>
              <w:t>。</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44</w:t>
            </w:r>
          </w:p>
        </w:tc>
        <w:tc>
          <w:tcPr>
            <w:tcW w:w="7185" w:type="dxa"/>
            <w:vAlign w:val="center"/>
          </w:tcPr>
          <w:p>
            <w:pPr>
              <w:spacing w:line="360" w:lineRule="exact"/>
              <w:ind w:left="11"/>
              <w:rPr>
                <w:rFonts w:ascii="宋体" w:hAnsi="宋体" w:cs="Arial"/>
              </w:rPr>
            </w:pPr>
            <w:r>
              <w:rPr>
                <w:rFonts w:hint="eastAsia" w:ascii="宋体" w:hAnsi="宋体" w:cs="Arial"/>
              </w:rPr>
              <w:t xml:space="preserve">电气控制柜中强电和弱电及仪表控制应分区。 </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45</w:t>
            </w:r>
          </w:p>
        </w:tc>
        <w:tc>
          <w:tcPr>
            <w:tcW w:w="7185" w:type="dxa"/>
            <w:vAlign w:val="center"/>
          </w:tcPr>
          <w:p>
            <w:pPr>
              <w:spacing w:line="360" w:lineRule="exact"/>
              <w:ind w:left="11"/>
              <w:rPr>
                <w:rFonts w:ascii="宋体" w:hAnsi="宋体" w:cs="Arial"/>
              </w:rPr>
            </w:pPr>
            <w:r>
              <w:rPr>
                <w:rFonts w:hint="eastAsia" w:ascii="宋体" w:hAnsi="宋体" w:cs="Arial"/>
              </w:rPr>
              <w:t>所有在电器柜内的电气元件的连接线都接到端子排上，连线的端口有清楚的识别编号。</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46</w:t>
            </w:r>
          </w:p>
        </w:tc>
        <w:tc>
          <w:tcPr>
            <w:tcW w:w="7185" w:type="dxa"/>
            <w:vAlign w:val="center"/>
          </w:tcPr>
          <w:p>
            <w:pPr>
              <w:spacing w:line="360" w:lineRule="exact"/>
              <w:ind w:left="11"/>
              <w:rPr>
                <w:rFonts w:hint="default" w:ascii="宋体" w:hAnsi="宋体" w:eastAsia="宋体" w:cs="Arial"/>
                <w:lang w:val="en-US" w:eastAsia="zh-CN"/>
              </w:rPr>
            </w:pPr>
            <w:r>
              <w:rPr>
                <w:rFonts w:hint="eastAsia" w:ascii="宋体" w:hAnsi="宋体" w:cs="Arial"/>
                <w:szCs w:val="21"/>
              </w:rPr>
              <w:t>易于接近的区域安装紧急停止按钮</w:t>
            </w:r>
            <w:r>
              <w:rPr>
                <w:rFonts w:hint="eastAsia" w:ascii="宋体" w:hAnsi="宋体" w:cs="Arial"/>
              </w:rPr>
              <w:t>。</w:t>
            </w:r>
            <w:r>
              <w:rPr>
                <w:rFonts w:hint="eastAsia" w:ascii="宋体" w:hAnsi="宋体" w:cs="Arial"/>
                <w:color w:val="FF0000"/>
                <w:lang w:val="en-US" w:eastAsia="zh-CN"/>
              </w:rPr>
              <w:t>设备具备过载保护功能，并详细讲解保护措施。</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100" w:hRule="atLeast"/>
        </w:trPr>
        <w:tc>
          <w:tcPr>
            <w:tcW w:w="129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47</w:t>
            </w:r>
          </w:p>
        </w:tc>
        <w:tc>
          <w:tcPr>
            <w:tcW w:w="7185" w:type="dxa"/>
            <w:vAlign w:val="center"/>
          </w:tcPr>
          <w:p>
            <w:pPr>
              <w:pStyle w:val="71"/>
              <w:spacing w:before="0" w:line="360" w:lineRule="exact"/>
              <w:rPr>
                <w:rFonts w:hint="eastAsia" w:ascii="宋体" w:hAnsi="宋体"/>
                <w:szCs w:val="24"/>
                <w:lang w:val="it-IT" w:eastAsia="zh-CN"/>
              </w:rPr>
            </w:pPr>
            <w:r>
              <w:rPr>
                <w:rFonts w:hint="eastAsia" w:ascii="宋体" w:hAnsi="宋体"/>
                <w:color w:val="auto"/>
                <w:szCs w:val="24"/>
                <w:lang w:val="it-IT" w:eastAsia="zh-CN"/>
              </w:rPr>
              <w:t>配电柜应带散热装置，控制配线必须采用低电压控制系统，电压≤24V；低压接线（24V和通讯/信号线路）应与主线路隔离，分线槽或者套管走线</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48</w:t>
            </w:r>
          </w:p>
        </w:tc>
        <w:tc>
          <w:tcPr>
            <w:tcW w:w="7185" w:type="dxa"/>
            <w:vAlign w:val="center"/>
          </w:tcPr>
          <w:p>
            <w:pPr>
              <w:spacing w:line="400" w:lineRule="exact"/>
              <w:rPr>
                <w:rFonts w:ascii="宋体" w:hAnsi="宋体"/>
              </w:rPr>
            </w:pPr>
            <w:r>
              <w:rPr>
                <w:rFonts w:hint="eastAsia"/>
              </w:rPr>
              <w:t>设备供应商需提供该设备涉及到的所有断路器、中间继电器、接触器、传感器、急停按钮、电磁阀、气缸、指示灯的品牌清单</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49</w:t>
            </w:r>
          </w:p>
        </w:tc>
        <w:tc>
          <w:tcPr>
            <w:tcW w:w="7185" w:type="dxa"/>
            <w:vAlign w:val="center"/>
          </w:tcPr>
          <w:p>
            <w:pPr>
              <w:spacing w:line="400" w:lineRule="exact"/>
              <w:rPr>
                <w:rFonts w:ascii="宋体" w:hAnsi="宋体"/>
              </w:rPr>
            </w:pPr>
            <w:r>
              <w:rPr>
                <w:rFonts w:hint="eastAsia" w:ascii="宋体" w:hAnsi="宋体"/>
              </w:rPr>
              <w:t>运动区域应有护罩保护，以免操作人员受到移动部件的伤害，易伤害部位应有醒目的中文安全标识及防护措施</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
              <w:numPr>
                <w:ilvl w:val="0"/>
                <w:numId w:val="0"/>
              </w:numPr>
              <w:jc w:val="center"/>
              <w:rPr>
                <w:rFonts w:ascii="宋体" w:hAnsi="宋体"/>
              </w:rPr>
            </w:pPr>
            <w:r>
              <w:rPr>
                <w:rFonts w:ascii="宋体" w:hAnsi="宋体"/>
              </w:rPr>
              <w:t>URS0</w:t>
            </w:r>
            <w:r>
              <w:rPr>
                <w:rFonts w:hint="eastAsia" w:ascii="宋体" w:hAnsi="宋体"/>
              </w:rPr>
              <w:t>50</w:t>
            </w:r>
          </w:p>
        </w:tc>
        <w:tc>
          <w:tcPr>
            <w:tcW w:w="7185" w:type="dxa"/>
            <w:vAlign w:val="center"/>
          </w:tcPr>
          <w:p>
            <w:pPr>
              <w:spacing w:line="360" w:lineRule="auto"/>
              <w:ind w:left="12"/>
              <w:rPr>
                <w:rFonts w:ascii="宋体" w:hAnsi="宋体"/>
              </w:rPr>
            </w:pPr>
            <w:r>
              <w:rPr>
                <w:rFonts w:hint="eastAsia" w:ascii="宋体" w:hAnsi="宋体"/>
              </w:rPr>
              <w:t>装置任何有潜在危险性部位必须清晰标明，所有电器部位设计必须符合现有国家安全标准</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
              <w:numPr>
                <w:ilvl w:val="0"/>
                <w:numId w:val="0"/>
              </w:numPr>
              <w:jc w:val="center"/>
              <w:rPr>
                <w:rFonts w:ascii="宋体" w:hAnsi="宋体"/>
              </w:rPr>
            </w:pPr>
            <w:r>
              <w:rPr>
                <w:rFonts w:ascii="宋体" w:hAnsi="宋体"/>
              </w:rPr>
              <w:t>URS</w:t>
            </w:r>
            <w:r>
              <w:rPr>
                <w:rFonts w:hint="eastAsia" w:ascii="宋体" w:hAnsi="宋体"/>
              </w:rPr>
              <w:t>051</w:t>
            </w:r>
          </w:p>
        </w:tc>
        <w:tc>
          <w:tcPr>
            <w:tcW w:w="7185" w:type="dxa"/>
            <w:vAlign w:val="center"/>
          </w:tcPr>
          <w:p>
            <w:pPr>
              <w:spacing w:line="360" w:lineRule="exact"/>
              <w:ind w:left="11"/>
              <w:rPr>
                <w:rFonts w:ascii="宋体" w:hAnsi="宋体" w:cs="Arial"/>
              </w:rPr>
            </w:pPr>
            <w:r>
              <w:rPr>
                <w:rFonts w:hint="eastAsia" w:ascii="宋体" w:hAnsi="宋体" w:cs="Arial"/>
              </w:rPr>
              <w:t>配线应强电、弱点线路分离或采用可靠屏蔽，控制系统</w:t>
            </w:r>
            <w:r>
              <w:rPr>
                <w:rFonts w:ascii="宋体" w:hAnsi="宋体" w:cs="宋体"/>
              </w:rPr>
              <w:t>能够抵抗手持无线电设备和设备周围</w:t>
            </w:r>
            <w:r>
              <w:rPr>
                <w:rFonts w:ascii="宋体" w:hAnsi="宋体" w:cs="Arial"/>
              </w:rPr>
              <w:t xml:space="preserve">3 </w:t>
            </w:r>
            <w:r>
              <w:rPr>
                <w:rFonts w:ascii="宋体" w:hAnsi="宋体" w:cs="宋体"/>
              </w:rPr>
              <w:t>英尺范围内的手机信号干扰。</w:t>
            </w:r>
            <w:r>
              <w:rPr>
                <w:rFonts w:hint="eastAsia" w:ascii="宋体" w:hAnsi="宋体" w:cs="Arial"/>
              </w:rPr>
              <w:t>安装时须提供抗干扰预防措施的指导，供我方实施时参考（要具体方法或方案）。</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w:t>
            </w:r>
            <w:r>
              <w:rPr>
                <w:rFonts w:hint="eastAsia" w:ascii="宋体" w:hAnsi="宋体"/>
                <w:b w:val="0"/>
                <w:caps w:val="0"/>
                <w:kern w:val="2"/>
                <w:lang w:val="en-US" w:eastAsia="zh-CN"/>
              </w:rPr>
              <w:t>052</w:t>
            </w:r>
          </w:p>
        </w:tc>
        <w:tc>
          <w:tcPr>
            <w:tcW w:w="7185" w:type="dxa"/>
            <w:vAlign w:val="center"/>
          </w:tcPr>
          <w:p>
            <w:pPr>
              <w:spacing w:line="360" w:lineRule="exact"/>
              <w:ind w:left="11"/>
              <w:rPr>
                <w:rFonts w:ascii="宋体" w:hAnsi="宋体" w:cs="Arial"/>
              </w:rPr>
            </w:pPr>
            <w:r>
              <w:rPr>
                <w:rFonts w:hint="eastAsia"/>
                <w:szCs w:val="21"/>
              </w:rPr>
              <w:t>控制柜内部布置有</w:t>
            </w:r>
            <w:r>
              <w:rPr>
                <w:szCs w:val="21"/>
              </w:rPr>
              <w:t>PLC</w:t>
            </w:r>
            <w:r>
              <w:rPr>
                <w:rFonts w:hint="eastAsia"/>
                <w:szCs w:val="21"/>
              </w:rPr>
              <w:t>、继电器、端子、线槽、电源等附件，必须布置合理、美观，便于功能扩展、维护和检查</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53</w:t>
            </w:r>
          </w:p>
        </w:tc>
        <w:tc>
          <w:tcPr>
            <w:tcW w:w="7185" w:type="dxa"/>
            <w:vAlign w:val="center"/>
          </w:tcPr>
          <w:p>
            <w:pPr>
              <w:spacing w:line="360" w:lineRule="exact"/>
              <w:ind w:left="11"/>
              <w:rPr>
                <w:rFonts w:ascii="宋体" w:hAnsi="宋体" w:cs="Arial"/>
              </w:rPr>
            </w:pPr>
            <w:r>
              <w:rPr>
                <w:rFonts w:ascii="Arial" w:hAnsi="Arial" w:cs="Arial"/>
              </w:rPr>
              <w:t>设备可实现故障停机功能，应有设备故障报警，报警信息应能够准确显示到具体的报警位置及故障原因</w:t>
            </w:r>
            <w:r>
              <w:rPr>
                <w:rFonts w:hint="eastAsia" w:ascii="Arial" w:hAnsi="Arial" w:cs="Arial"/>
              </w:rPr>
              <w:t>，报警显示信息应为中文</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54</w:t>
            </w:r>
          </w:p>
        </w:tc>
        <w:tc>
          <w:tcPr>
            <w:tcW w:w="7185" w:type="dxa"/>
            <w:vAlign w:val="center"/>
          </w:tcPr>
          <w:p>
            <w:pPr>
              <w:spacing w:line="360" w:lineRule="exact"/>
              <w:ind w:left="11"/>
              <w:rPr>
                <w:rFonts w:hint="eastAsia"/>
              </w:rPr>
            </w:pPr>
            <w:r>
              <w:t>设备应有紧急停止按钮</w:t>
            </w:r>
            <w:r>
              <w:rPr>
                <w:rFonts w:hint="eastAsia"/>
              </w:rPr>
              <w:t>，且位置醒目方便操作：</w:t>
            </w:r>
            <w:r>
              <w:t>急停</w:t>
            </w:r>
            <w:r>
              <w:rPr>
                <w:rFonts w:hint="eastAsia"/>
              </w:rPr>
              <w:t>≥</w:t>
            </w:r>
            <w:r>
              <w:rPr>
                <w:rFonts w:hint="eastAsia"/>
                <w:lang w:val="en-US" w:eastAsia="zh-CN"/>
              </w:rPr>
              <w:t>2</w:t>
            </w:r>
            <w:r>
              <w:rPr>
                <w:rFonts w:hint="eastAsia"/>
              </w:rPr>
              <w:t>处，需体现在设备平面图上</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55</w:t>
            </w:r>
          </w:p>
        </w:tc>
        <w:tc>
          <w:tcPr>
            <w:tcW w:w="7185" w:type="dxa"/>
            <w:vAlign w:val="center"/>
          </w:tcPr>
          <w:p>
            <w:pPr>
              <w:spacing w:line="360" w:lineRule="exact"/>
              <w:ind w:left="11"/>
              <w:rPr>
                <w:rFonts w:ascii="宋体" w:hAnsi="宋体" w:cs="Arial"/>
                <w:color w:val="000000" w:themeColor="text1"/>
                <w14:textFill>
                  <w14:solidFill>
                    <w14:schemeClr w14:val="tx1"/>
                  </w14:solidFill>
                </w14:textFill>
              </w:rPr>
            </w:pPr>
            <w:r>
              <w:rPr>
                <w:rFonts w:hint="eastAsia" w:ascii="宋体" w:hAnsi="宋体"/>
                <w:caps/>
                <w:color w:val="000000" w:themeColor="text1"/>
                <w14:textFill>
                  <w14:solidFill>
                    <w14:schemeClr w14:val="tx1"/>
                  </w14:solidFill>
                </w14:textFill>
              </w:rPr>
              <w:t>PLC和触摸屏可连接电脑及网络，出现故障时，可以进行远程诊断、修复。</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w:t>
            </w:r>
            <w:r>
              <w:rPr>
                <w:rFonts w:hint="eastAsia" w:ascii="宋体" w:hAnsi="宋体"/>
                <w:b w:val="0"/>
                <w:caps w:val="0"/>
                <w:kern w:val="2"/>
                <w:lang w:val="en-US" w:eastAsia="zh-CN"/>
              </w:rPr>
              <w:t>056</w:t>
            </w:r>
          </w:p>
        </w:tc>
        <w:tc>
          <w:tcPr>
            <w:tcW w:w="7185" w:type="dxa"/>
            <w:vAlign w:val="center"/>
          </w:tcPr>
          <w:p>
            <w:pPr>
              <w:spacing w:line="400" w:lineRule="exact"/>
              <w:rPr>
                <w:rFonts w:hint="eastAsia"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PLC、触摸屏、交流接触器、变频器以及关键部件如电机、电器元件等采用国际知名品牌（施耐德、三菱、欧姆龙等），并提供相关资质证明。</w:t>
            </w:r>
          </w:p>
        </w:tc>
        <w:tc>
          <w:tcPr>
            <w:tcW w:w="1440" w:type="dxa"/>
            <w:vAlign w:val="center"/>
          </w:tcPr>
          <w:p>
            <w:pPr>
              <w:spacing w:line="360" w:lineRule="exact"/>
              <w:jc w:val="center"/>
              <w:rPr>
                <w:rFonts w:ascii="宋体" w:hAnsi="宋体"/>
              </w:rPr>
            </w:pPr>
            <w:r>
              <w:rPr>
                <w:rFonts w:hint="eastAsia" w:ascii="宋体" w:hAnsi="宋体"/>
              </w:rPr>
              <w:t>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aps w:val="0"/>
                <w:kern w:val="2"/>
                <w:lang w:val="en-US" w:eastAsia="zh-CN"/>
              </w:rPr>
              <w:t>URS0</w:t>
            </w:r>
            <w:r>
              <w:rPr>
                <w:rFonts w:hint="eastAsia" w:ascii="宋体" w:hAnsi="宋体"/>
                <w:b w:val="0"/>
                <w:caps w:val="0"/>
                <w:kern w:val="2"/>
                <w:lang w:val="en-US" w:eastAsia="zh-CN"/>
              </w:rPr>
              <w:t>57</w:t>
            </w:r>
          </w:p>
        </w:tc>
        <w:tc>
          <w:tcPr>
            <w:tcW w:w="7185" w:type="dxa"/>
            <w:vAlign w:val="center"/>
          </w:tcPr>
          <w:p>
            <w:pPr>
              <w:spacing w:line="360" w:lineRule="exact"/>
              <w:ind w:left="11"/>
              <w:rPr>
                <w:rFonts w:ascii="宋体" w:hAnsi="宋体"/>
              </w:rPr>
            </w:pPr>
            <w:r>
              <w:rPr>
                <w:szCs w:val="21"/>
              </w:rPr>
              <w:t>PLC</w:t>
            </w:r>
            <w:r>
              <w:rPr>
                <w:rFonts w:hint="eastAsia"/>
                <w:szCs w:val="21"/>
              </w:rPr>
              <w:t>至少预留</w:t>
            </w:r>
            <w:r>
              <w:rPr>
                <w:szCs w:val="21"/>
              </w:rPr>
              <w:t>10%</w:t>
            </w:r>
            <w:r>
              <w:rPr>
                <w:rFonts w:hint="eastAsia"/>
                <w:szCs w:val="21"/>
              </w:rPr>
              <w:t>的输入</w:t>
            </w:r>
            <w:r>
              <w:rPr>
                <w:szCs w:val="21"/>
              </w:rPr>
              <w:t>/</w:t>
            </w:r>
            <w:r>
              <w:rPr>
                <w:rFonts w:hint="eastAsia"/>
                <w:szCs w:val="21"/>
              </w:rPr>
              <w:t>输出点，便于程序升级</w:t>
            </w:r>
          </w:p>
        </w:tc>
        <w:tc>
          <w:tcPr>
            <w:tcW w:w="1440" w:type="dxa"/>
            <w:vAlign w:val="center"/>
          </w:tcPr>
          <w:p>
            <w:pPr>
              <w:spacing w:line="360" w:lineRule="exact"/>
              <w:jc w:val="center"/>
              <w:rPr>
                <w:rFonts w:hint="eastAsia"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jc w:val="center"/>
              <w:rPr>
                <w:rFonts w:ascii="宋体" w:hAnsi="宋体"/>
              </w:rPr>
            </w:pPr>
            <w:r>
              <w:rPr>
                <w:rFonts w:ascii="宋体" w:hAnsi="宋体"/>
              </w:rPr>
              <w:t>URS0</w:t>
            </w:r>
            <w:r>
              <w:rPr>
                <w:rFonts w:hint="eastAsia" w:ascii="宋体" w:hAnsi="宋体"/>
              </w:rPr>
              <w:t>58</w:t>
            </w:r>
          </w:p>
        </w:tc>
        <w:tc>
          <w:tcPr>
            <w:tcW w:w="7185" w:type="dxa"/>
            <w:vAlign w:val="center"/>
          </w:tcPr>
          <w:p>
            <w:pPr>
              <w:pStyle w:val="13"/>
              <w:tabs>
                <w:tab w:val="center" w:pos="2268"/>
                <w:tab w:val="right" w:pos="5387"/>
              </w:tabs>
              <w:spacing w:line="400" w:lineRule="exact"/>
              <w:rPr>
                <w:rFonts w:ascii="宋体" w:hAnsi="宋体"/>
                <w:sz w:val="24"/>
                <w:szCs w:val="24"/>
              </w:rPr>
            </w:pPr>
            <w:r>
              <w:rPr>
                <w:rFonts w:hint="eastAsia" w:ascii="宋体" w:hAnsi="宋体"/>
                <w:sz w:val="24"/>
                <w:szCs w:val="24"/>
              </w:rPr>
              <w:t>预留输出通讯接口，方便连接远程监控系统。通讯接口标准及协议为Ethernet以太网接口</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jc w:val="center"/>
              <w:rPr>
                <w:rFonts w:ascii="宋体" w:hAnsi="宋体"/>
              </w:rPr>
            </w:pPr>
            <w:r>
              <w:rPr>
                <w:rFonts w:ascii="宋体" w:hAnsi="宋体"/>
              </w:rPr>
              <w:t>URS0</w:t>
            </w:r>
            <w:r>
              <w:rPr>
                <w:rFonts w:hint="eastAsia" w:ascii="宋体" w:hAnsi="宋体"/>
              </w:rPr>
              <w:t>59</w:t>
            </w:r>
          </w:p>
        </w:tc>
        <w:tc>
          <w:tcPr>
            <w:tcW w:w="7185" w:type="dxa"/>
            <w:vAlign w:val="center"/>
          </w:tcPr>
          <w:p>
            <w:pPr>
              <w:adjustRightInd w:val="0"/>
              <w:spacing w:line="312" w:lineRule="atLeast"/>
              <w:textAlignment w:val="baseline"/>
              <w:rPr>
                <w:rFonts w:ascii="宋体" w:hAnsi="宋体"/>
              </w:rPr>
            </w:pPr>
            <w:r>
              <w:rPr>
                <w:rFonts w:hint="eastAsia" w:ascii="宋体" w:hAnsi="宋体"/>
              </w:rPr>
              <w:t>应有UPS电源保证运行数据不丢失。</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jc w:val="center"/>
              <w:rPr>
                <w:rFonts w:ascii="宋体" w:hAnsi="宋体"/>
              </w:rPr>
            </w:pPr>
            <w:r>
              <w:rPr>
                <w:rFonts w:ascii="宋体" w:hAnsi="宋体"/>
              </w:rPr>
              <w:t>URS0</w:t>
            </w:r>
            <w:r>
              <w:rPr>
                <w:rFonts w:hint="eastAsia" w:ascii="宋体" w:hAnsi="宋体"/>
              </w:rPr>
              <w:t>60</w:t>
            </w:r>
          </w:p>
        </w:tc>
        <w:tc>
          <w:tcPr>
            <w:tcW w:w="7185" w:type="dxa"/>
            <w:vAlign w:val="center"/>
          </w:tcPr>
          <w:p>
            <w:pPr>
              <w:adjustRightInd w:val="0"/>
              <w:spacing w:line="312" w:lineRule="atLeast"/>
              <w:textAlignment w:val="baseline"/>
              <w:rPr>
                <w:rFonts w:hint="eastAsia" w:ascii="宋体" w:hAnsi="宋体" w:cs="Arial"/>
                <w:szCs w:val="21"/>
              </w:rPr>
            </w:pPr>
            <w:r>
              <w:rPr>
                <w:rFonts w:hint="eastAsia" w:ascii="宋体" w:hAnsi="宋体" w:cs="Arial"/>
                <w:color w:val="auto"/>
                <w:szCs w:val="21"/>
              </w:rPr>
              <w:t>防护门具有设备运行状态下的自锁功能，防止设备运行时被打开。或具有开门停机功能。</w:t>
            </w:r>
          </w:p>
        </w:tc>
        <w:tc>
          <w:tcPr>
            <w:tcW w:w="1440" w:type="dxa"/>
            <w:vAlign w:val="center"/>
          </w:tcPr>
          <w:p>
            <w:pPr>
              <w:spacing w:line="360" w:lineRule="exact"/>
              <w:jc w:val="center"/>
              <w:rPr>
                <w:rFonts w:ascii="宋体" w:hAnsi="宋体"/>
              </w:rPr>
            </w:pPr>
            <w:r>
              <w:rPr>
                <w:rFonts w:hint="eastAsia"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jc w:val="center"/>
              <w:rPr>
                <w:rFonts w:ascii="宋体" w:hAnsi="宋体"/>
              </w:rPr>
            </w:pPr>
            <w:r>
              <w:rPr>
                <w:rFonts w:ascii="宋体" w:hAnsi="宋体"/>
              </w:rPr>
              <w:t>URS0</w:t>
            </w:r>
            <w:r>
              <w:rPr>
                <w:rFonts w:hint="eastAsia" w:ascii="宋体" w:hAnsi="宋体"/>
              </w:rPr>
              <w:t>61</w:t>
            </w:r>
          </w:p>
        </w:tc>
        <w:tc>
          <w:tcPr>
            <w:tcW w:w="7185" w:type="dxa"/>
            <w:vAlign w:val="center"/>
          </w:tcPr>
          <w:p>
            <w:pPr>
              <w:adjustRightInd w:val="0"/>
              <w:spacing w:line="312" w:lineRule="atLeast"/>
              <w:textAlignment w:val="baseline"/>
              <w:rPr>
                <w:rFonts w:ascii="宋体" w:hAnsi="宋体"/>
              </w:rPr>
            </w:pPr>
            <w:r>
              <w:rPr>
                <w:rFonts w:hint="eastAsia" w:ascii="宋体" w:hAnsi="宋体"/>
              </w:rPr>
              <w:t>机器在任何不正常工作状态下，机器会自动报警并停机，并在电脑屏上显示出现故障的名称及位置。若故障没有排除、设备没有恢复正常状态，机器将自动锁定，无法启动。</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jc w:val="center"/>
              <w:rPr>
                <w:rFonts w:ascii="宋体" w:hAnsi="宋体"/>
              </w:rPr>
            </w:pPr>
            <w:r>
              <w:rPr>
                <w:rFonts w:ascii="宋体" w:hAnsi="宋体"/>
              </w:rPr>
              <w:t>URS0</w:t>
            </w:r>
            <w:r>
              <w:rPr>
                <w:rFonts w:hint="eastAsia" w:ascii="宋体" w:hAnsi="宋体"/>
              </w:rPr>
              <w:t>62</w:t>
            </w:r>
          </w:p>
        </w:tc>
        <w:tc>
          <w:tcPr>
            <w:tcW w:w="7185" w:type="dxa"/>
            <w:vAlign w:val="center"/>
          </w:tcPr>
          <w:p>
            <w:pPr>
              <w:adjustRightInd w:val="0"/>
              <w:spacing w:line="312" w:lineRule="atLeast"/>
              <w:textAlignment w:val="baseline"/>
              <w:rPr>
                <w:rFonts w:ascii="宋体" w:hAnsi="宋体" w:cs="Arial"/>
                <w:szCs w:val="21"/>
              </w:rPr>
            </w:pPr>
            <w:r>
              <w:rPr>
                <w:rFonts w:hint="eastAsia" w:ascii="宋体" w:hAnsi="宋体"/>
                <w:color w:val="000000" w:themeColor="text1"/>
                <w:szCs w:val="21"/>
                <w14:textFill>
                  <w14:solidFill>
                    <w14:schemeClr w14:val="tx1"/>
                  </w14:solidFill>
                </w14:textFill>
              </w:rPr>
              <w:t>电气安装应该符合欧洲标准和中国强制认证(CE/CCC)</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jc w:val="center"/>
              <w:rPr>
                <w:rFonts w:ascii="宋体" w:hAnsi="宋体"/>
              </w:rPr>
            </w:pPr>
            <w:r>
              <w:rPr>
                <w:rFonts w:ascii="宋体" w:hAnsi="宋体"/>
              </w:rPr>
              <w:t>URS0</w:t>
            </w:r>
            <w:r>
              <w:rPr>
                <w:rFonts w:hint="eastAsia" w:ascii="宋体" w:hAnsi="宋体"/>
              </w:rPr>
              <w:t>63</w:t>
            </w:r>
          </w:p>
        </w:tc>
        <w:tc>
          <w:tcPr>
            <w:tcW w:w="7185" w:type="dxa"/>
            <w:vAlign w:val="center"/>
          </w:tcPr>
          <w:p>
            <w:pPr>
              <w:adjustRightInd w:val="0"/>
              <w:spacing w:line="312" w:lineRule="atLeast"/>
              <w:textAlignment w:val="baseline"/>
              <w:rPr>
                <w:rFonts w:ascii="宋体" w:hAnsi="宋体" w:cs="Arial"/>
                <w:szCs w:val="21"/>
              </w:rPr>
            </w:pPr>
            <w:r>
              <w:rPr>
                <w:rFonts w:hint="eastAsia" w:ascii="宋体" w:hAnsi="宋体"/>
                <w:color w:val="000000" w:themeColor="text1"/>
                <w:szCs w:val="21"/>
                <w14:textFill>
                  <w14:solidFill>
                    <w14:schemeClr w14:val="tx1"/>
                  </w14:solidFill>
                </w14:textFill>
              </w:rPr>
              <w:t>所有线缆均有标号并有连接线路图，应有可靠的接地装置，并有明显的接地标志</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jc w:val="center"/>
              <w:rPr>
                <w:rFonts w:ascii="宋体" w:hAnsi="宋体"/>
              </w:rPr>
            </w:pPr>
            <w:r>
              <w:rPr>
                <w:rFonts w:ascii="宋体" w:hAnsi="宋体"/>
              </w:rPr>
              <w:t>URS0</w:t>
            </w:r>
            <w:r>
              <w:rPr>
                <w:rFonts w:hint="eastAsia" w:ascii="宋体" w:hAnsi="宋体"/>
              </w:rPr>
              <w:t>64</w:t>
            </w:r>
          </w:p>
        </w:tc>
        <w:tc>
          <w:tcPr>
            <w:tcW w:w="7185" w:type="dxa"/>
            <w:vAlign w:val="center"/>
          </w:tcPr>
          <w:p>
            <w:pPr>
              <w:spacing w:line="312" w:lineRule="atLeast"/>
              <w:textAlignment w:val="baseline"/>
              <w:rPr>
                <w:rFonts w:ascii="宋体" w:hAnsi="宋体"/>
                <w:color w:val="000000" w:themeColor="text1"/>
                <w14:textFill>
                  <w14:solidFill>
                    <w14:schemeClr w14:val="tx1"/>
                  </w14:solidFill>
                </w14:textFill>
              </w:rPr>
            </w:pPr>
            <w:r>
              <w:rPr>
                <w:rFonts w:hint="eastAsia"/>
                <w:szCs w:val="21"/>
              </w:rPr>
              <w:t>设备内配线需安装在管道罩子中，做到美观。</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jc w:val="center"/>
              <w:rPr>
                <w:rFonts w:ascii="宋体" w:hAnsi="宋体"/>
              </w:rPr>
            </w:pPr>
            <w:r>
              <w:rPr>
                <w:rFonts w:ascii="宋体" w:hAnsi="宋体"/>
              </w:rPr>
              <w:t>URS0</w:t>
            </w:r>
            <w:r>
              <w:rPr>
                <w:rFonts w:hint="eastAsia" w:ascii="宋体" w:hAnsi="宋体"/>
              </w:rPr>
              <w:t>65</w:t>
            </w:r>
          </w:p>
        </w:tc>
        <w:tc>
          <w:tcPr>
            <w:tcW w:w="7185" w:type="dxa"/>
            <w:vAlign w:val="center"/>
          </w:tcPr>
          <w:p>
            <w:pPr>
              <w:spacing w:line="312" w:lineRule="atLeast"/>
              <w:textAlignment w:val="baseline"/>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异常停电，停电时自动记录数据，不会丢失。来电后设备应处于待运行状态，待操作人员检查各状态参数是否正常后方可继续运行。</w:t>
            </w:r>
            <w:r>
              <w:rPr>
                <w:rFonts w:hint="eastAsia" w:ascii="宋体" w:hAnsi="宋体"/>
                <w:snapToGrid w:val="0"/>
                <w:color w:val="000000" w:themeColor="text1"/>
                <w:szCs w:val="21"/>
                <w14:textFill>
                  <w14:solidFill>
                    <w14:schemeClr w14:val="tx1"/>
                  </w14:solidFill>
                </w14:textFill>
              </w:rPr>
              <w:t>PLC程序及操作系统有备份</w:t>
            </w:r>
          </w:p>
        </w:tc>
        <w:tc>
          <w:tcPr>
            <w:tcW w:w="1440"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jc w:val="center"/>
              <w:rPr>
                <w:rFonts w:ascii="宋体" w:hAnsi="宋体"/>
              </w:rPr>
            </w:pPr>
            <w:r>
              <w:rPr>
                <w:rFonts w:ascii="宋体" w:hAnsi="宋体"/>
              </w:rPr>
              <w:t>URS0</w:t>
            </w:r>
            <w:r>
              <w:rPr>
                <w:rFonts w:hint="eastAsia" w:ascii="宋体" w:hAnsi="宋体"/>
              </w:rPr>
              <w:t>66</w:t>
            </w:r>
          </w:p>
        </w:tc>
        <w:tc>
          <w:tcPr>
            <w:tcW w:w="7185" w:type="dxa"/>
            <w:vAlign w:val="center"/>
          </w:tcPr>
          <w:p>
            <w:pPr>
              <w:adjustRightInd w:val="0"/>
              <w:spacing w:line="312" w:lineRule="atLeast"/>
              <w:textAlignment w:val="baseline"/>
              <w:rPr>
                <w:rFonts w:ascii="宋体" w:hAnsi="宋体"/>
                <w:color w:val="FF0000"/>
                <w:szCs w:val="21"/>
              </w:rPr>
            </w:pPr>
            <w:r>
              <w:rPr>
                <w:rFonts w:hint="eastAsia" w:ascii="宋体" w:hAnsi="宋体"/>
              </w:rPr>
              <w:t>供应商必须提供系统安装备份、灾害性恢复操作程序、工艺数据备份、恢复操作程序。数据保存和备份应优先考虑本地硬盘存储，同时还应具备安全导出功能。</w:t>
            </w:r>
          </w:p>
        </w:tc>
        <w:tc>
          <w:tcPr>
            <w:tcW w:w="1440" w:type="dxa"/>
            <w:vAlign w:val="center"/>
          </w:tcPr>
          <w:p>
            <w:pPr>
              <w:spacing w:line="360" w:lineRule="exact"/>
              <w:jc w:val="center"/>
              <w:rPr>
                <w:rFonts w:ascii="宋体" w:hAnsi="宋体"/>
              </w:rPr>
            </w:pPr>
            <w:r>
              <w:rPr>
                <w:rFonts w:hint="eastAsia" w:ascii="宋体" w:hAnsi="宋体"/>
              </w:rPr>
              <w:t>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jc w:val="center"/>
              <w:rPr>
                <w:rFonts w:ascii="宋体" w:hAnsi="宋体"/>
              </w:rPr>
            </w:pPr>
            <w:r>
              <w:rPr>
                <w:rFonts w:ascii="宋体" w:hAnsi="宋体"/>
              </w:rPr>
              <w:t>URS0</w:t>
            </w:r>
            <w:r>
              <w:rPr>
                <w:rFonts w:hint="eastAsia" w:ascii="宋体" w:hAnsi="宋体"/>
              </w:rPr>
              <w:t>67</w:t>
            </w:r>
          </w:p>
        </w:tc>
        <w:tc>
          <w:tcPr>
            <w:tcW w:w="7185" w:type="dxa"/>
            <w:vAlign w:val="center"/>
          </w:tcPr>
          <w:p>
            <w:pPr>
              <w:adjustRightInd w:val="0"/>
              <w:spacing w:line="312" w:lineRule="atLeast"/>
              <w:textAlignment w:val="baseline"/>
              <w:rPr>
                <w:rFonts w:ascii="宋体" w:hAnsi="宋体"/>
              </w:rPr>
            </w:pPr>
            <w:r>
              <w:rPr>
                <w:rFonts w:hint="eastAsia" w:ascii="宋体" w:hAnsi="宋体"/>
              </w:rPr>
              <w:t>提供所有仪器仪表的第三方检测报告原件</w:t>
            </w:r>
          </w:p>
        </w:tc>
        <w:tc>
          <w:tcPr>
            <w:tcW w:w="1440" w:type="dxa"/>
            <w:vAlign w:val="center"/>
          </w:tcPr>
          <w:p>
            <w:pPr>
              <w:spacing w:line="360" w:lineRule="exact"/>
              <w:jc w:val="center"/>
              <w:rPr>
                <w:rFonts w:ascii="宋体" w:hAnsi="宋体"/>
              </w:rPr>
            </w:pPr>
            <w:r>
              <w:rPr>
                <w:rFonts w:ascii="宋体" w:hAnsi="宋体"/>
              </w:rPr>
              <w:t>必需</w:t>
            </w:r>
          </w:p>
        </w:tc>
      </w:tr>
    </w:tbl>
    <w:p>
      <w:pPr>
        <w:pStyle w:val="3"/>
        <w:rPr>
          <w:rFonts w:ascii="宋体" w:hAnsi="宋体"/>
          <w:color w:val="FF0000"/>
        </w:rPr>
      </w:pPr>
      <w:bookmarkStart w:id="74" w:name="_Toc228851753"/>
      <w:bookmarkStart w:id="75" w:name="_Toc328058282"/>
      <w:bookmarkStart w:id="76" w:name="_Toc23165144"/>
      <w:r>
        <w:rPr>
          <w:rFonts w:hint="eastAsia" w:ascii="宋体" w:hAnsi="宋体"/>
          <w:color w:val="FF0000"/>
        </w:rPr>
        <w:t>QA要求</w:t>
      </w:r>
      <w:bookmarkEnd w:id="74"/>
      <w:bookmarkEnd w:id="75"/>
      <w:bookmarkEnd w:id="76"/>
    </w:p>
    <w:tbl>
      <w:tblPr>
        <w:tblStyle w:val="24"/>
        <w:tblW w:w="9990" w:type="dxa"/>
        <w:tblInd w:w="-262"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7155"/>
        <w:gridCol w:w="15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320"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155"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515" w:type="dxa"/>
            <w:shd w:val="clear" w:color="auto" w:fill="C0C0C0"/>
            <w:vAlign w:val="center"/>
          </w:tcPr>
          <w:p>
            <w:pPr>
              <w:pStyle w:val="69"/>
              <w:tabs>
                <w:tab w:val="center" w:pos="2268"/>
                <w:tab w:val="right" w:pos="5387"/>
                <w:tab w:val="clear" w:pos="4820"/>
                <w:tab w:val="clear" w:pos="9639"/>
              </w:tabs>
              <w:snapToGrid w:val="0"/>
              <w:spacing w:before="0" w:after="0" w:line="36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20" w:type="dxa"/>
            <w:vAlign w:val="center"/>
          </w:tcPr>
          <w:p>
            <w:pPr>
              <w:jc w:val="center"/>
              <w:rPr>
                <w:rFonts w:ascii="宋体" w:hAnsi="宋体"/>
              </w:rPr>
            </w:pPr>
            <w:r>
              <w:rPr>
                <w:rFonts w:ascii="宋体" w:hAnsi="宋体"/>
              </w:rPr>
              <w:t>URS0</w:t>
            </w:r>
            <w:r>
              <w:rPr>
                <w:rFonts w:hint="eastAsia" w:ascii="宋体" w:hAnsi="宋体"/>
              </w:rPr>
              <w:t>68</w:t>
            </w:r>
          </w:p>
        </w:tc>
        <w:tc>
          <w:tcPr>
            <w:tcW w:w="7155" w:type="dxa"/>
            <w:vAlign w:val="center"/>
          </w:tcPr>
          <w:p>
            <w:pPr>
              <w:pStyle w:val="69"/>
              <w:tabs>
                <w:tab w:val="center" w:pos="2268"/>
                <w:tab w:val="right" w:pos="5387"/>
                <w:tab w:val="clear" w:pos="4820"/>
                <w:tab w:val="clear" w:pos="9639"/>
              </w:tabs>
              <w:spacing w:before="0" w:after="0" w:line="360" w:lineRule="exact"/>
              <w:jc w:val="both"/>
              <w:rPr>
                <w:rFonts w:ascii="宋体" w:hAnsi="宋体"/>
                <w:b w:val="0"/>
                <w:lang w:eastAsia="zh-CN"/>
              </w:rPr>
            </w:pPr>
            <w:r>
              <w:rPr>
                <w:rFonts w:hint="eastAsia" w:ascii="宋体" w:hAnsi="宋体"/>
                <w:b w:val="0"/>
                <w:lang w:eastAsia="zh-CN"/>
              </w:rPr>
              <w:t>设备内、外表部件均抛光光滑，清洗方便，不留死角，符合GMP卫生标准要求。</w:t>
            </w:r>
          </w:p>
        </w:tc>
        <w:tc>
          <w:tcPr>
            <w:tcW w:w="1515" w:type="dxa"/>
            <w:vAlign w:val="center"/>
          </w:tcPr>
          <w:p>
            <w:pPr>
              <w:spacing w:line="360" w:lineRule="exact"/>
              <w:jc w:val="center"/>
              <w:rPr>
                <w:rFonts w:ascii="宋体" w:hAnsi="宋体"/>
              </w:rPr>
            </w:pPr>
            <w:r>
              <w:rPr>
                <w:rFonts w:ascii="宋体" w:hAnsi="宋体"/>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20" w:type="dxa"/>
          </w:tcPr>
          <w:p>
            <w:pPr>
              <w:jc w:val="center"/>
              <w:rPr>
                <w:rFonts w:ascii="宋体" w:hAnsi="宋体"/>
              </w:rPr>
            </w:pPr>
            <w:r>
              <w:rPr>
                <w:rFonts w:ascii="宋体" w:hAnsi="宋体"/>
              </w:rPr>
              <w:t>URS0</w:t>
            </w:r>
            <w:r>
              <w:rPr>
                <w:rFonts w:hint="eastAsia" w:ascii="宋体" w:hAnsi="宋体"/>
              </w:rPr>
              <w:t>69</w:t>
            </w:r>
          </w:p>
        </w:tc>
        <w:tc>
          <w:tcPr>
            <w:tcW w:w="7155" w:type="dxa"/>
            <w:vAlign w:val="center"/>
          </w:tcPr>
          <w:p>
            <w:pPr>
              <w:pStyle w:val="69"/>
              <w:tabs>
                <w:tab w:val="center" w:pos="2268"/>
                <w:tab w:val="right" w:pos="5387"/>
                <w:tab w:val="clear" w:pos="4820"/>
                <w:tab w:val="clear" w:pos="9639"/>
              </w:tabs>
              <w:spacing w:before="0" w:after="0" w:line="360" w:lineRule="exact"/>
              <w:jc w:val="both"/>
              <w:rPr>
                <w:rFonts w:ascii="宋体" w:hAnsi="宋体"/>
                <w:b w:val="0"/>
                <w:lang w:eastAsia="zh-CN"/>
              </w:rPr>
            </w:pPr>
            <w:r>
              <w:rPr>
                <w:rFonts w:hint="eastAsia" w:ascii="宋体" w:hAnsi="宋体"/>
                <w:b w:val="0"/>
                <w:lang w:eastAsia="zh-CN"/>
              </w:rPr>
              <w:t>配合甲方完成相关验证及提供相关证明</w:t>
            </w:r>
          </w:p>
        </w:tc>
        <w:tc>
          <w:tcPr>
            <w:tcW w:w="1515" w:type="dxa"/>
            <w:vAlign w:val="center"/>
          </w:tcPr>
          <w:p>
            <w:pPr>
              <w:spacing w:line="360" w:lineRule="exact"/>
              <w:jc w:val="center"/>
              <w:rPr>
                <w:rFonts w:ascii="宋体" w:hAnsi="宋体"/>
              </w:rPr>
            </w:pPr>
            <w:r>
              <w:rPr>
                <w:rFonts w:ascii="宋体" w:hAnsi="宋体"/>
              </w:rPr>
              <w:t>必需</w:t>
            </w:r>
          </w:p>
        </w:tc>
      </w:tr>
    </w:tbl>
    <w:p>
      <w:pPr>
        <w:pStyle w:val="3"/>
        <w:rPr>
          <w:rFonts w:ascii="宋体" w:hAnsi="宋体"/>
          <w:color w:val="000000"/>
        </w:rPr>
      </w:pPr>
      <w:bookmarkStart w:id="77" w:name="_Toc228851754"/>
      <w:bookmarkStart w:id="78" w:name="_Toc23165145"/>
      <w:bookmarkStart w:id="79" w:name="_Toc328058283"/>
      <w:r>
        <w:rPr>
          <w:rFonts w:hint="eastAsia" w:ascii="宋体" w:hAnsi="宋体"/>
          <w:color w:val="000000"/>
        </w:rPr>
        <w:t>RAM要求</w:t>
      </w:r>
      <w:bookmarkEnd w:id="77"/>
      <w:bookmarkEnd w:id="78"/>
      <w:bookmarkEnd w:id="79"/>
    </w:p>
    <w:tbl>
      <w:tblPr>
        <w:tblStyle w:val="24"/>
        <w:tblW w:w="10005" w:type="dxa"/>
        <w:tblInd w:w="-262"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7170"/>
        <w:gridCol w:w="150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335"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170"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500" w:type="dxa"/>
            <w:shd w:val="clear" w:color="auto" w:fill="C0C0C0"/>
            <w:vAlign w:val="center"/>
          </w:tcPr>
          <w:p>
            <w:pPr>
              <w:pStyle w:val="69"/>
              <w:tabs>
                <w:tab w:val="center" w:pos="2268"/>
                <w:tab w:val="right" w:pos="5387"/>
                <w:tab w:val="clear" w:pos="4820"/>
                <w:tab w:val="clear" w:pos="9639"/>
              </w:tabs>
              <w:snapToGrid w:val="0"/>
              <w:spacing w:before="0" w:after="0" w:line="36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35" w:type="dxa"/>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kern w:val="2"/>
                <w:lang w:val="en-US" w:eastAsia="zh-CN"/>
              </w:rPr>
            </w:pPr>
            <w:r>
              <w:rPr>
                <w:rFonts w:ascii="宋体" w:hAnsi="宋体"/>
                <w:b w:val="0"/>
                <w:color w:val="000000"/>
              </w:rPr>
              <w:t>URS0</w:t>
            </w:r>
            <w:r>
              <w:rPr>
                <w:rFonts w:hint="eastAsia" w:ascii="宋体" w:hAnsi="宋体"/>
                <w:b w:val="0"/>
                <w:color w:val="000000"/>
                <w:lang w:val="en-US" w:eastAsia="zh-CN"/>
              </w:rPr>
              <w:t>70</w:t>
            </w:r>
          </w:p>
        </w:tc>
        <w:tc>
          <w:tcPr>
            <w:tcW w:w="7170" w:type="dxa"/>
            <w:vAlign w:val="center"/>
          </w:tcPr>
          <w:p>
            <w:pPr>
              <w:pStyle w:val="69"/>
              <w:tabs>
                <w:tab w:val="center" w:pos="2268"/>
                <w:tab w:val="right" w:pos="5387"/>
                <w:tab w:val="clear" w:pos="4820"/>
                <w:tab w:val="clear" w:pos="9639"/>
              </w:tabs>
              <w:spacing w:before="0" w:after="0" w:line="360" w:lineRule="exact"/>
              <w:jc w:val="both"/>
              <w:rPr>
                <w:rFonts w:ascii="宋体" w:hAnsi="宋体"/>
                <w:b w:val="0"/>
                <w:caps w:val="0"/>
                <w:kern w:val="2"/>
                <w:lang w:val="en-US" w:eastAsia="zh-CN"/>
              </w:rPr>
            </w:pPr>
            <w:r>
              <w:rPr>
                <w:rFonts w:hint="eastAsia" w:ascii="宋体" w:hAnsi="宋体"/>
                <w:b w:val="0"/>
                <w:caps w:val="0"/>
                <w:kern w:val="2"/>
                <w:lang w:val="en-US" w:eastAsia="zh-CN"/>
              </w:rPr>
              <w:t>卖方保证所供货物是用符合要求的材料制成，全新未曾使用过。</w:t>
            </w:r>
          </w:p>
        </w:tc>
        <w:tc>
          <w:tcPr>
            <w:tcW w:w="1500" w:type="dxa"/>
            <w:vAlign w:val="center"/>
          </w:tcPr>
          <w:p>
            <w:pPr>
              <w:spacing w:line="360" w:lineRule="exact"/>
              <w:jc w:val="center"/>
              <w:rPr>
                <w:rFonts w:ascii="宋体" w:hAnsi="宋体"/>
              </w:rPr>
            </w:pPr>
            <w:r>
              <w:rPr>
                <w:rFonts w:ascii="宋体" w:hAnsi="宋体"/>
              </w:rPr>
              <w:t>必需</w:t>
            </w:r>
          </w:p>
        </w:tc>
      </w:tr>
    </w:tbl>
    <w:p>
      <w:pPr>
        <w:pStyle w:val="3"/>
        <w:rPr>
          <w:rFonts w:ascii="宋体" w:hAnsi="宋体"/>
          <w:color w:val="000000"/>
        </w:rPr>
      </w:pPr>
      <w:bookmarkStart w:id="80" w:name="_Toc23165146"/>
      <w:bookmarkStart w:id="81" w:name="_Toc328058284"/>
      <w:bookmarkStart w:id="82" w:name="_Toc228851755"/>
      <w:r>
        <w:rPr>
          <w:rFonts w:hint="eastAsia" w:ascii="宋体" w:hAnsi="宋体"/>
          <w:color w:val="000000"/>
        </w:rPr>
        <w:t>EHS要求：</w:t>
      </w:r>
      <w:bookmarkEnd w:id="80"/>
      <w:bookmarkEnd w:id="81"/>
      <w:bookmarkEnd w:id="82"/>
    </w:p>
    <w:tbl>
      <w:tblPr>
        <w:tblStyle w:val="24"/>
        <w:tblW w:w="9990" w:type="dxa"/>
        <w:tblInd w:w="-262"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7155"/>
        <w:gridCol w:w="150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335"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155" w:type="dxa"/>
            <w:shd w:val="clear" w:color="auto" w:fill="C0C0C0"/>
            <w:vAlign w:val="center"/>
          </w:tcPr>
          <w:p>
            <w:pPr>
              <w:pStyle w:val="69"/>
              <w:tabs>
                <w:tab w:val="center" w:pos="2268"/>
                <w:tab w:val="right" w:pos="5387"/>
                <w:tab w:val="clear" w:pos="4820"/>
                <w:tab w:val="clear" w:pos="9639"/>
              </w:tabs>
              <w:spacing w:before="0" w:after="0" w:line="36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500" w:type="dxa"/>
            <w:shd w:val="clear" w:color="auto" w:fill="C0C0C0"/>
            <w:vAlign w:val="center"/>
          </w:tcPr>
          <w:p>
            <w:pPr>
              <w:pStyle w:val="69"/>
              <w:tabs>
                <w:tab w:val="center" w:pos="2268"/>
                <w:tab w:val="right" w:pos="5387"/>
                <w:tab w:val="clear" w:pos="4820"/>
                <w:tab w:val="clear" w:pos="9639"/>
              </w:tabs>
              <w:snapToGrid w:val="0"/>
              <w:spacing w:before="0" w:after="0" w:line="36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35" w:type="dxa"/>
          </w:tcPr>
          <w:p>
            <w:pPr>
              <w:jc w:val="center"/>
              <w:rPr>
                <w:rFonts w:ascii="宋体" w:hAnsi="宋体"/>
                <w:color w:val="000000"/>
              </w:rPr>
            </w:pPr>
            <w:r>
              <w:rPr>
                <w:rFonts w:ascii="宋体" w:hAnsi="宋体"/>
                <w:color w:val="000000"/>
              </w:rPr>
              <w:t>URS0</w:t>
            </w:r>
            <w:r>
              <w:rPr>
                <w:rFonts w:hint="eastAsia" w:ascii="宋体" w:hAnsi="宋体"/>
                <w:color w:val="000000"/>
              </w:rPr>
              <w:t>71</w:t>
            </w:r>
          </w:p>
        </w:tc>
        <w:tc>
          <w:tcPr>
            <w:tcW w:w="7155" w:type="dxa"/>
            <w:vAlign w:val="center"/>
          </w:tcPr>
          <w:p>
            <w:pPr>
              <w:rPr>
                <w:rFonts w:ascii="宋体" w:hAnsi="宋体"/>
                <w:color w:val="000000"/>
              </w:rPr>
            </w:pPr>
            <w:r>
              <w:rPr>
                <w:rFonts w:hint="eastAsia" w:ascii="宋体" w:hAnsi="宋体"/>
                <w:color w:val="000000"/>
              </w:rPr>
              <w:t>设备的设计应符合相关的国家及行业标准、法规；</w:t>
            </w:r>
          </w:p>
        </w:tc>
        <w:tc>
          <w:tcPr>
            <w:tcW w:w="1500" w:type="dxa"/>
            <w:vAlign w:val="center"/>
          </w:tcPr>
          <w:p>
            <w:pPr>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35" w:type="dxa"/>
          </w:tcPr>
          <w:p>
            <w:pPr>
              <w:jc w:val="center"/>
              <w:rPr>
                <w:rFonts w:ascii="宋体" w:hAnsi="宋体"/>
                <w:color w:val="000000"/>
              </w:rPr>
            </w:pPr>
            <w:r>
              <w:rPr>
                <w:rFonts w:ascii="宋体" w:hAnsi="宋体"/>
                <w:color w:val="000000"/>
              </w:rPr>
              <w:t>URS0</w:t>
            </w:r>
            <w:r>
              <w:rPr>
                <w:rFonts w:hint="eastAsia" w:ascii="宋体" w:hAnsi="宋体"/>
                <w:color w:val="000000"/>
              </w:rPr>
              <w:t>72</w:t>
            </w:r>
          </w:p>
        </w:tc>
        <w:tc>
          <w:tcPr>
            <w:tcW w:w="7155" w:type="dxa"/>
            <w:vAlign w:val="center"/>
          </w:tcPr>
          <w:p>
            <w:pPr>
              <w:rPr>
                <w:rFonts w:ascii="宋体" w:hAnsi="宋体"/>
                <w:color w:val="000000"/>
              </w:rPr>
            </w:pPr>
            <w:r>
              <w:rPr>
                <w:rFonts w:hint="eastAsia" w:ascii="宋体" w:hAnsi="宋体"/>
                <w:color w:val="000000"/>
              </w:rPr>
              <w:t>设备应可靠接地保护</w:t>
            </w:r>
          </w:p>
        </w:tc>
        <w:tc>
          <w:tcPr>
            <w:tcW w:w="1500" w:type="dxa"/>
            <w:vAlign w:val="center"/>
          </w:tcPr>
          <w:p>
            <w:pPr>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35" w:type="dxa"/>
          </w:tcPr>
          <w:p>
            <w:pPr>
              <w:jc w:val="center"/>
              <w:rPr>
                <w:rFonts w:ascii="宋体" w:hAnsi="宋体"/>
                <w:color w:val="000000"/>
              </w:rPr>
            </w:pPr>
            <w:r>
              <w:rPr>
                <w:rFonts w:ascii="宋体" w:hAnsi="宋体"/>
                <w:color w:val="000000"/>
              </w:rPr>
              <w:t>URS</w:t>
            </w:r>
            <w:r>
              <w:rPr>
                <w:rFonts w:hint="eastAsia" w:ascii="宋体" w:hAnsi="宋体"/>
                <w:color w:val="000000"/>
              </w:rPr>
              <w:t>073</w:t>
            </w:r>
          </w:p>
        </w:tc>
        <w:tc>
          <w:tcPr>
            <w:tcW w:w="7155" w:type="dxa"/>
            <w:vAlign w:val="center"/>
          </w:tcPr>
          <w:p>
            <w:pPr>
              <w:rPr>
                <w:rFonts w:ascii="宋体" w:hAnsi="宋体"/>
                <w:color w:val="000000"/>
              </w:rPr>
            </w:pPr>
            <w:r>
              <w:rPr>
                <w:rFonts w:hint="eastAsia" w:ascii="宋体" w:hAnsi="宋体"/>
                <w:color w:val="000000"/>
              </w:rPr>
              <w:t>设备运行噪声不大于75</w:t>
            </w:r>
            <w:r>
              <w:rPr>
                <w:rFonts w:ascii="宋体" w:hAnsi="宋体"/>
                <w:color w:val="000000"/>
              </w:rPr>
              <w:t>d</w:t>
            </w:r>
            <w:r>
              <w:rPr>
                <w:rFonts w:hint="eastAsia" w:ascii="宋体" w:hAnsi="宋体"/>
                <w:color w:val="000000"/>
              </w:rPr>
              <w:t>B(A)</w:t>
            </w:r>
          </w:p>
        </w:tc>
        <w:tc>
          <w:tcPr>
            <w:tcW w:w="1500" w:type="dxa"/>
            <w:vAlign w:val="center"/>
          </w:tcPr>
          <w:p>
            <w:pPr>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35" w:type="dxa"/>
          </w:tcPr>
          <w:p>
            <w:pPr>
              <w:jc w:val="center"/>
              <w:rPr>
                <w:rFonts w:ascii="宋体" w:hAnsi="宋体"/>
                <w:color w:val="000000"/>
              </w:rPr>
            </w:pPr>
            <w:r>
              <w:rPr>
                <w:rFonts w:ascii="宋体" w:hAnsi="宋体"/>
                <w:color w:val="000000"/>
              </w:rPr>
              <w:t>URS</w:t>
            </w:r>
            <w:r>
              <w:rPr>
                <w:rFonts w:hint="eastAsia" w:ascii="宋体" w:hAnsi="宋体"/>
                <w:color w:val="000000"/>
              </w:rPr>
              <w:t>074</w:t>
            </w:r>
          </w:p>
        </w:tc>
        <w:tc>
          <w:tcPr>
            <w:tcW w:w="7155" w:type="dxa"/>
            <w:vAlign w:val="center"/>
          </w:tcPr>
          <w:p>
            <w:pPr>
              <w:rPr>
                <w:rFonts w:ascii="宋体" w:hAnsi="宋体"/>
                <w:color w:val="000000"/>
              </w:rPr>
            </w:pPr>
            <w:r>
              <w:rPr>
                <w:rFonts w:hint="eastAsia" w:ascii="宋体" w:hAnsi="宋体"/>
                <w:color w:val="000000"/>
              </w:rPr>
              <w:t>易伤害部位应有醒目的中文安全标志及防护措施；</w:t>
            </w:r>
          </w:p>
        </w:tc>
        <w:tc>
          <w:tcPr>
            <w:tcW w:w="1500" w:type="dxa"/>
            <w:vAlign w:val="center"/>
          </w:tcPr>
          <w:p>
            <w:pPr>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35" w:type="dxa"/>
          </w:tcPr>
          <w:p>
            <w:pPr>
              <w:jc w:val="center"/>
              <w:rPr>
                <w:rFonts w:ascii="宋体" w:hAnsi="宋体"/>
                <w:color w:val="000000"/>
              </w:rPr>
            </w:pPr>
            <w:r>
              <w:rPr>
                <w:rFonts w:ascii="宋体" w:hAnsi="宋体"/>
                <w:color w:val="000000"/>
              </w:rPr>
              <w:t>URS</w:t>
            </w:r>
            <w:r>
              <w:rPr>
                <w:rFonts w:hint="eastAsia" w:ascii="宋体" w:hAnsi="宋体"/>
                <w:color w:val="000000"/>
              </w:rPr>
              <w:t>075</w:t>
            </w:r>
          </w:p>
        </w:tc>
        <w:tc>
          <w:tcPr>
            <w:tcW w:w="7155" w:type="dxa"/>
            <w:vAlign w:val="center"/>
          </w:tcPr>
          <w:p>
            <w:pPr>
              <w:rPr>
                <w:rFonts w:ascii="宋体" w:hAnsi="宋体"/>
                <w:color w:val="000000"/>
              </w:rPr>
            </w:pPr>
            <w:r>
              <w:rPr>
                <w:rFonts w:ascii="宋体" w:hAnsi="宋体"/>
                <w:color w:val="000000"/>
              </w:rPr>
              <w:t>设备任何部位不能有锋利的边缘和尖角</w:t>
            </w:r>
          </w:p>
        </w:tc>
        <w:tc>
          <w:tcPr>
            <w:tcW w:w="1500" w:type="dxa"/>
            <w:vAlign w:val="center"/>
          </w:tcPr>
          <w:p>
            <w:pPr>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35" w:type="dxa"/>
          </w:tcPr>
          <w:p>
            <w:pPr>
              <w:jc w:val="center"/>
              <w:rPr>
                <w:rFonts w:ascii="宋体" w:hAnsi="宋体"/>
                <w:color w:val="000000"/>
              </w:rPr>
            </w:pPr>
            <w:r>
              <w:rPr>
                <w:rFonts w:ascii="宋体" w:hAnsi="宋体"/>
                <w:color w:val="000000"/>
              </w:rPr>
              <w:t>URS</w:t>
            </w:r>
            <w:r>
              <w:rPr>
                <w:rFonts w:hint="eastAsia" w:ascii="宋体" w:hAnsi="宋体"/>
                <w:color w:val="000000"/>
              </w:rPr>
              <w:t>076</w:t>
            </w:r>
          </w:p>
        </w:tc>
        <w:tc>
          <w:tcPr>
            <w:tcW w:w="7155" w:type="dxa"/>
            <w:vAlign w:val="center"/>
          </w:tcPr>
          <w:p>
            <w:pPr>
              <w:pStyle w:val="13"/>
              <w:tabs>
                <w:tab w:val="center" w:pos="2268"/>
                <w:tab w:val="right" w:pos="5387"/>
              </w:tabs>
              <w:rPr>
                <w:rFonts w:ascii="宋体" w:hAnsi="宋体"/>
                <w:color w:val="000000"/>
                <w:sz w:val="24"/>
                <w:szCs w:val="24"/>
              </w:rPr>
            </w:pPr>
            <w:r>
              <w:rPr>
                <w:rFonts w:hint="eastAsia" w:ascii="宋体" w:hAnsi="宋体"/>
                <w:color w:val="000000"/>
                <w:sz w:val="24"/>
                <w:szCs w:val="24"/>
              </w:rPr>
              <w:t>设备的设计与使用应充分考虑对环境的保护和节能；</w:t>
            </w:r>
          </w:p>
        </w:tc>
        <w:tc>
          <w:tcPr>
            <w:tcW w:w="1500" w:type="dxa"/>
            <w:vAlign w:val="center"/>
          </w:tcPr>
          <w:p>
            <w:pPr>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35" w:type="dxa"/>
          </w:tcPr>
          <w:p>
            <w:pPr>
              <w:jc w:val="center"/>
              <w:rPr>
                <w:rFonts w:ascii="宋体" w:hAnsi="宋体"/>
                <w:color w:val="000000"/>
              </w:rPr>
            </w:pPr>
            <w:r>
              <w:rPr>
                <w:rFonts w:ascii="宋体" w:hAnsi="宋体"/>
                <w:color w:val="000000"/>
              </w:rPr>
              <w:t>URS</w:t>
            </w:r>
            <w:r>
              <w:rPr>
                <w:rFonts w:hint="eastAsia" w:ascii="宋体" w:hAnsi="宋体"/>
                <w:color w:val="000000"/>
              </w:rPr>
              <w:t>077</w:t>
            </w:r>
          </w:p>
        </w:tc>
        <w:tc>
          <w:tcPr>
            <w:tcW w:w="7155" w:type="dxa"/>
            <w:vAlign w:val="center"/>
          </w:tcPr>
          <w:p>
            <w:pPr>
              <w:spacing w:line="280" w:lineRule="exact"/>
              <w:rPr>
                <w:rFonts w:ascii="宋体" w:hAnsi="宋体"/>
                <w:color w:val="000000"/>
              </w:rPr>
            </w:pPr>
            <w:r>
              <w:rPr>
                <w:rFonts w:hint="eastAsia" w:ascii="宋体" w:hAnsi="宋体"/>
                <w:color w:val="000000"/>
              </w:rPr>
              <w:t>应设置安全防护门，开门应停机。（调试模式可取消开门停机）</w:t>
            </w:r>
          </w:p>
        </w:tc>
        <w:tc>
          <w:tcPr>
            <w:tcW w:w="1500" w:type="dxa"/>
            <w:vAlign w:val="center"/>
          </w:tcPr>
          <w:p>
            <w:pPr>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35" w:type="dxa"/>
          </w:tcPr>
          <w:p>
            <w:pPr>
              <w:jc w:val="center"/>
              <w:rPr>
                <w:rFonts w:ascii="宋体" w:hAnsi="宋体"/>
                <w:color w:val="000000"/>
              </w:rPr>
            </w:pPr>
            <w:r>
              <w:rPr>
                <w:rFonts w:ascii="宋体" w:hAnsi="宋体"/>
                <w:color w:val="000000"/>
              </w:rPr>
              <w:t>URS</w:t>
            </w:r>
            <w:r>
              <w:rPr>
                <w:rFonts w:hint="eastAsia" w:ascii="宋体" w:hAnsi="宋体"/>
                <w:color w:val="000000"/>
              </w:rPr>
              <w:t>078</w:t>
            </w:r>
          </w:p>
        </w:tc>
        <w:tc>
          <w:tcPr>
            <w:tcW w:w="7155" w:type="dxa"/>
            <w:vAlign w:val="center"/>
          </w:tcPr>
          <w:p>
            <w:pPr>
              <w:spacing w:line="280" w:lineRule="exact"/>
              <w:rPr>
                <w:rFonts w:ascii="宋体" w:hAnsi="宋体" w:cs="Arial"/>
                <w:color w:val="000000"/>
              </w:rPr>
            </w:pPr>
            <w:r>
              <w:rPr>
                <w:rFonts w:hint="eastAsia" w:ascii="宋体" w:hAnsi="宋体" w:cs="Arial"/>
              </w:rPr>
              <w:t>需提供危险点清单和防护措施，设备危险部位应有标示。</w:t>
            </w:r>
          </w:p>
        </w:tc>
        <w:tc>
          <w:tcPr>
            <w:tcW w:w="1500" w:type="dxa"/>
            <w:vAlign w:val="center"/>
          </w:tcPr>
          <w:p>
            <w:pPr>
              <w:jc w:val="center"/>
              <w:rPr>
                <w:rFonts w:ascii="宋体" w:hAnsi="宋体"/>
                <w:color w:val="000000"/>
              </w:rPr>
            </w:pPr>
            <w:r>
              <w:rPr>
                <w:rFonts w:hint="eastAsia" w:ascii="宋体" w:hAnsi="宋体"/>
                <w:color w:val="000000"/>
              </w:rPr>
              <w:t>必需</w:t>
            </w:r>
          </w:p>
        </w:tc>
      </w:tr>
    </w:tbl>
    <w:p>
      <w:pPr>
        <w:pStyle w:val="2"/>
        <w:rPr>
          <w:rFonts w:ascii="宋体" w:hAnsi="宋体"/>
          <w:bCs w:val="0"/>
          <w:color w:val="000000"/>
          <w:sz w:val="28"/>
          <w:szCs w:val="28"/>
        </w:rPr>
      </w:pPr>
      <w:bookmarkStart w:id="83" w:name="_Toc228851756"/>
      <w:bookmarkStart w:id="84" w:name="_Toc328058285"/>
      <w:bookmarkStart w:id="85" w:name="_Toc23165147"/>
      <w:r>
        <w:rPr>
          <w:rFonts w:hint="eastAsia" w:ascii="宋体" w:hAnsi="宋体"/>
          <w:bCs w:val="0"/>
          <w:color w:val="000000"/>
          <w:sz w:val="28"/>
          <w:szCs w:val="28"/>
        </w:rPr>
        <w:t>服务要求</w:t>
      </w:r>
      <w:bookmarkEnd w:id="83"/>
      <w:bookmarkEnd w:id="84"/>
      <w:bookmarkEnd w:id="85"/>
    </w:p>
    <w:p>
      <w:pPr>
        <w:pStyle w:val="3"/>
        <w:rPr>
          <w:rFonts w:ascii="宋体" w:hAnsi="宋体"/>
          <w:color w:val="000000"/>
        </w:rPr>
      </w:pPr>
      <w:bookmarkStart w:id="86" w:name="_Toc228851757"/>
      <w:bookmarkStart w:id="87" w:name="_Toc328058286"/>
      <w:bookmarkStart w:id="88" w:name="_Toc23165148"/>
      <w:r>
        <w:rPr>
          <w:rFonts w:hint="eastAsia" w:ascii="宋体" w:hAnsi="宋体"/>
          <w:color w:val="000000"/>
        </w:rPr>
        <w:t>包装运输要求</w:t>
      </w:r>
      <w:bookmarkEnd w:id="86"/>
      <w:bookmarkEnd w:id="87"/>
      <w:bookmarkEnd w:id="88"/>
    </w:p>
    <w:tbl>
      <w:tblPr>
        <w:tblStyle w:val="24"/>
        <w:tblW w:w="10005" w:type="dxa"/>
        <w:tblInd w:w="-24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7170"/>
        <w:gridCol w:w="15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320"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170"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515" w:type="dxa"/>
            <w:shd w:val="clear" w:color="auto" w:fill="C0C0C0"/>
            <w:vAlign w:val="center"/>
          </w:tcPr>
          <w:p>
            <w:pPr>
              <w:pStyle w:val="69"/>
              <w:tabs>
                <w:tab w:val="center" w:pos="2268"/>
                <w:tab w:val="right" w:pos="5387"/>
                <w:tab w:val="clear" w:pos="4820"/>
                <w:tab w:val="clear" w:pos="9639"/>
              </w:tabs>
              <w:snapToGrid w:val="0"/>
              <w:spacing w:before="0" w:after="0" w:line="40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20" w:type="dxa"/>
            <w:vAlign w:val="center"/>
          </w:tcPr>
          <w:p>
            <w:pPr>
              <w:jc w:val="center"/>
              <w:rPr>
                <w:rFonts w:ascii="宋体" w:hAnsi="宋体"/>
                <w:color w:val="000000"/>
              </w:rPr>
            </w:pPr>
            <w:r>
              <w:rPr>
                <w:rFonts w:ascii="宋体" w:hAnsi="宋体"/>
                <w:color w:val="000000"/>
              </w:rPr>
              <w:t>URS</w:t>
            </w:r>
            <w:r>
              <w:rPr>
                <w:rFonts w:hint="eastAsia" w:ascii="宋体" w:hAnsi="宋体"/>
                <w:color w:val="000000"/>
              </w:rPr>
              <w:t>079</w:t>
            </w:r>
          </w:p>
        </w:tc>
        <w:tc>
          <w:tcPr>
            <w:tcW w:w="7170" w:type="dxa"/>
            <w:vAlign w:val="center"/>
          </w:tcPr>
          <w:p>
            <w:pPr>
              <w:spacing w:line="400" w:lineRule="exact"/>
              <w:rPr>
                <w:rFonts w:ascii="宋体" w:hAnsi="宋体"/>
                <w:color w:val="000000"/>
              </w:rPr>
            </w:pPr>
            <w:r>
              <w:rPr>
                <w:rFonts w:hint="eastAsia" w:ascii="宋体" w:hAnsi="宋体"/>
                <w:color w:val="000000"/>
              </w:rPr>
              <w:t>包装满足运输和装卸要求，防潮湿、防磕碰、防振动，由于包装不良而造成的任何变形或锈损，卖方承担全部损失和费用。</w:t>
            </w:r>
          </w:p>
        </w:tc>
        <w:tc>
          <w:tcPr>
            <w:tcW w:w="1515"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0" w:type="dxa"/>
            <w:vAlign w:val="center"/>
          </w:tcPr>
          <w:p>
            <w:pPr>
              <w:jc w:val="center"/>
              <w:rPr>
                <w:rFonts w:ascii="宋体" w:hAnsi="宋体"/>
                <w:color w:val="000000"/>
              </w:rPr>
            </w:pPr>
            <w:r>
              <w:rPr>
                <w:rFonts w:ascii="宋体" w:hAnsi="宋体"/>
                <w:color w:val="000000"/>
              </w:rPr>
              <w:t>URS</w:t>
            </w:r>
            <w:r>
              <w:rPr>
                <w:rFonts w:hint="eastAsia" w:ascii="宋体" w:hAnsi="宋体"/>
                <w:color w:val="000000"/>
              </w:rPr>
              <w:t>080</w:t>
            </w:r>
          </w:p>
        </w:tc>
        <w:tc>
          <w:tcPr>
            <w:tcW w:w="7170" w:type="dxa"/>
            <w:vAlign w:val="center"/>
          </w:tcPr>
          <w:p>
            <w:pPr>
              <w:rPr>
                <w:rFonts w:ascii="宋体" w:hAnsi="宋体"/>
                <w:color w:val="000000"/>
              </w:rPr>
            </w:pPr>
            <w:r>
              <w:rPr>
                <w:rFonts w:hint="eastAsia" w:ascii="宋体" w:hAnsi="宋体"/>
                <w:color w:val="000000"/>
              </w:rPr>
              <w:t>运输时间包含在供货周期内，供方负责运输，并承担运输费用。</w:t>
            </w:r>
          </w:p>
        </w:tc>
        <w:tc>
          <w:tcPr>
            <w:tcW w:w="1515"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0" w:type="dxa"/>
            <w:vAlign w:val="center"/>
          </w:tcPr>
          <w:p>
            <w:pPr>
              <w:jc w:val="center"/>
              <w:rPr>
                <w:rFonts w:ascii="宋体" w:hAnsi="宋体"/>
                <w:color w:val="000000"/>
              </w:rPr>
            </w:pPr>
            <w:r>
              <w:rPr>
                <w:rFonts w:ascii="宋体" w:hAnsi="宋体"/>
                <w:color w:val="000000"/>
              </w:rPr>
              <w:t>URS</w:t>
            </w:r>
            <w:r>
              <w:rPr>
                <w:rFonts w:hint="eastAsia" w:ascii="宋体" w:hAnsi="宋体"/>
                <w:color w:val="000000"/>
              </w:rPr>
              <w:t>081</w:t>
            </w:r>
          </w:p>
        </w:tc>
        <w:tc>
          <w:tcPr>
            <w:tcW w:w="7170" w:type="dxa"/>
            <w:vAlign w:val="center"/>
          </w:tcPr>
          <w:p>
            <w:pPr>
              <w:rPr>
                <w:rFonts w:ascii="宋体" w:hAnsi="宋体"/>
                <w:color w:val="000000"/>
              </w:rPr>
            </w:pPr>
            <w:r>
              <w:rPr>
                <w:rFonts w:hint="eastAsia" w:ascii="宋体" w:hAnsi="宋体"/>
                <w:color w:val="000000"/>
              </w:rPr>
              <w:t>设备到货清单必须详列包装箱内容物及数量。</w:t>
            </w:r>
          </w:p>
        </w:tc>
        <w:tc>
          <w:tcPr>
            <w:tcW w:w="1515" w:type="dxa"/>
            <w:vAlign w:val="center"/>
          </w:tcPr>
          <w:p>
            <w:pPr>
              <w:spacing w:line="400" w:lineRule="exact"/>
              <w:jc w:val="center"/>
              <w:rPr>
                <w:rFonts w:ascii="宋体" w:hAnsi="宋体"/>
                <w:color w:val="000000"/>
              </w:rPr>
            </w:pPr>
            <w:r>
              <w:rPr>
                <w:rFonts w:ascii="宋体" w:hAnsi="宋体"/>
                <w:color w:val="000000"/>
              </w:rPr>
              <w:t>必需</w:t>
            </w:r>
          </w:p>
        </w:tc>
      </w:tr>
    </w:tbl>
    <w:p>
      <w:pPr>
        <w:pStyle w:val="3"/>
        <w:rPr>
          <w:rFonts w:ascii="宋体" w:hAnsi="宋体"/>
          <w:color w:val="000000"/>
        </w:rPr>
      </w:pPr>
      <w:bookmarkStart w:id="89" w:name="_Toc23165149"/>
      <w:bookmarkStart w:id="90" w:name="_Toc228851758"/>
      <w:bookmarkStart w:id="91" w:name="_Toc328058287"/>
      <w:r>
        <w:rPr>
          <w:rFonts w:hint="eastAsia" w:ascii="宋体" w:hAnsi="宋体"/>
          <w:color w:val="000000"/>
        </w:rPr>
        <w:t>文件资料要求</w:t>
      </w:r>
      <w:bookmarkEnd w:id="89"/>
      <w:bookmarkEnd w:id="90"/>
      <w:bookmarkEnd w:id="91"/>
    </w:p>
    <w:tbl>
      <w:tblPr>
        <w:tblStyle w:val="24"/>
        <w:tblW w:w="10005" w:type="dxa"/>
        <w:tblInd w:w="-232"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7125"/>
        <w:gridCol w:w="153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350"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125"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530" w:type="dxa"/>
            <w:shd w:val="clear" w:color="auto" w:fill="C0C0C0"/>
            <w:vAlign w:val="center"/>
          </w:tcPr>
          <w:p>
            <w:pPr>
              <w:pStyle w:val="69"/>
              <w:tabs>
                <w:tab w:val="center" w:pos="2268"/>
                <w:tab w:val="right" w:pos="5387"/>
                <w:tab w:val="clear" w:pos="4820"/>
                <w:tab w:val="clear" w:pos="9639"/>
              </w:tabs>
              <w:snapToGrid w:val="0"/>
              <w:spacing w:before="0" w:after="0" w:line="40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50"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082</w:t>
            </w:r>
          </w:p>
        </w:tc>
        <w:tc>
          <w:tcPr>
            <w:tcW w:w="7125" w:type="dxa"/>
          </w:tcPr>
          <w:p>
            <w:pPr>
              <w:spacing w:line="360" w:lineRule="exact"/>
              <w:rPr>
                <w:rFonts w:ascii="宋体" w:hAnsi="宋体" w:cs="Arial"/>
                <w:color w:val="000000"/>
              </w:rPr>
            </w:pPr>
            <w:r>
              <w:rPr>
                <w:rFonts w:hint="eastAsia" w:ascii="宋体" w:hAnsi="宋体" w:cs="Arial"/>
                <w:color w:val="000000"/>
              </w:rPr>
              <w:t>设备装箱清单、设备合格证书、电路原理图、设备安装图</w:t>
            </w:r>
          </w:p>
        </w:tc>
        <w:tc>
          <w:tcPr>
            <w:tcW w:w="1530"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50"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083</w:t>
            </w:r>
          </w:p>
        </w:tc>
        <w:tc>
          <w:tcPr>
            <w:tcW w:w="7125" w:type="dxa"/>
          </w:tcPr>
          <w:p>
            <w:pPr>
              <w:spacing w:line="360" w:lineRule="exact"/>
              <w:ind w:left="-3" w:firstLine="3"/>
              <w:rPr>
                <w:rFonts w:ascii="宋体" w:hAnsi="宋体" w:cs="Arial"/>
                <w:color w:val="000000"/>
              </w:rPr>
            </w:pPr>
            <w:r>
              <w:rPr>
                <w:rFonts w:ascii="宋体" w:hAnsi="宋体" w:cs="Arial"/>
                <w:color w:val="000000"/>
              </w:rPr>
              <w:t>供应商提供的确认文件包括</w:t>
            </w:r>
            <w:r>
              <w:rPr>
                <w:rFonts w:hint="eastAsia" w:ascii="宋体" w:hAnsi="宋体" w:cs="Arial"/>
                <w:color w:val="000000"/>
              </w:rPr>
              <w:t>DQ、</w:t>
            </w:r>
            <w:r>
              <w:rPr>
                <w:rFonts w:ascii="宋体" w:hAnsi="宋体" w:cs="Arial"/>
                <w:color w:val="000000"/>
              </w:rPr>
              <w:t>IQ</w:t>
            </w:r>
            <w:r>
              <w:rPr>
                <w:rFonts w:hint="eastAsia" w:ascii="宋体" w:hAnsi="宋体" w:cs="Arial"/>
                <w:color w:val="000000"/>
              </w:rPr>
              <w:t>、</w:t>
            </w:r>
            <w:r>
              <w:rPr>
                <w:rFonts w:ascii="宋体" w:hAnsi="宋体" w:cs="Arial"/>
                <w:color w:val="000000"/>
              </w:rPr>
              <w:t>OQ</w:t>
            </w:r>
            <w:r>
              <w:rPr>
                <w:rFonts w:hint="eastAsia" w:ascii="宋体" w:hAnsi="宋体" w:cs="Arial"/>
                <w:color w:val="000000"/>
              </w:rPr>
              <w:t>、FAT和PQ</w:t>
            </w:r>
            <w:r>
              <w:rPr>
                <w:rFonts w:ascii="宋体" w:hAnsi="宋体" w:cs="Arial"/>
                <w:color w:val="000000"/>
              </w:rPr>
              <w:t>文件</w:t>
            </w:r>
            <w:r>
              <w:rPr>
                <w:rFonts w:hint="eastAsia" w:ascii="宋体" w:hAnsi="宋体" w:cs="Arial"/>
                <w:color w:val="000000"/>
              </w:rPr>
              <w:t>，并协助完成确认</w:t>
            </w:r>
            <w:r>
              <w:rPr>
                <w:rFonts w:ascii="宋体" w:hAnsi="宋体" w:cs="Arial"/>
                <w:color w:val="000000"/>
              </w:rPr>
              <w:t>。</w:t>
            </w:r>
          </w:p>
        </w:tc>
        <w:tc>
          <w:tcPr>
            <w:tcW w:w="1530"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50"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084</w:t>
            </w:r>
          </w:p>
        </w:tc>
        <w:tc>
          <w:tcPr>
            <w:tcW w:w="7125" w:type="dxa"/>
          </w:tcPr>
          <w:p>
            <w:pPr>
              <w:spacing w:line="360" w:lineRule="exact"/>
              <w:rPr>
                <w:rFonts w:ascii="宋体" w:hAnsi="宋体" w:cs="Arial"/>
                <w:color w:val="000000"/>
              </w:rPr>
            </w:pPr>
            <w:r>
              <w:rPr>
                <w:rFonts w:ascii="宋体" w:hAnsi="宋体" w:cs="Arial"/>
                <w:color w:val="000000"/>
              </w:rPr>
              <w:t>供应商应提供硬件和软件文件拷贝，并免费提供程序恢复标准操作程序。</w:t>
            </w:r>
          </w:p>
        </w:tc>
        <w:tc>
          <w:tcPr>
            <w:tcW w:w="1530"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50"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085</w:t>
            </w:r>
          </w:p>
        </w:tc>
        <w:tc>
          <w:tcPr>
            <w:tcW w:w="7125" w:type="dxa"/>
          </w:tcPr>
          <w:p>
            <w:pPr>
              <w:spacing w:before="120" w:after="120" w:line="360" w:lineRule="exact"/>
              <w:ind w:left="567" w:hanging="567"/>
              <w:rPr>
                <w:rFonts w:ascii="宋体" w:hAnsi="宋体" w:cs="Arial"/>
                <w:color w:val="000000"/>
              </w:rPr>
            </w:pPr>
            <w:r>
              <w:rPr>
                <w:rFonts w:ascii="宋体" w:hAnsi="宋体" w:cs="Arial"/>
                <w:color w:val="000000"/>
              </w:rPr>
              <w:t>设备供应商应提供</w:t>
            </w:r>
            <w:r>
              <w:rPr>
                <w:rFonts w:hint="eastAsia" w:ascii="宋体" w:hAnsi="宋体" w:cs="Arial"/>
                <w:color w:val="000000"/>
              </w:rPr>
              <w:t>两</w:t>
            </w:r>
            <w:r>
              <w:rPr>
                <w:rFonts w:ascii="宋体" w:hAnsi="宋体" w:cs="Arial"/>
                <w:color w:val="000000"/>
              </w:rPr>
              <w:t>套操作手册（中文），包括以下内容：</w:t>
            </w:r>
          </w:p>
          <w:p>
            <w:pPr>
              <w:tabs>
                <w:tab w:val="left" w:pos="426"/>
              </w:tabs>
              <w:spacing w:before="60" w:after="60" w:line="360" w:lineRule="exact"/>
              <w:ind w:left="567" w:hanging="567"/>
              <w:rPr>
                <w:rFonts w:hint="eastAsia" w:ascii="宋体" w:hAnsi="宋体" w:eastAsia="宋体" w:cs="Arial"/>
                <w:color w:val="000000"/>
                <w:lang w:eastAsia="zh-CN"/>
              </w:rPr>
            </w:pPr>
            <w:r>
              <w:rPr>
                <w:rFonts w:ascii="宋体" w:hAnsi="宋体" w:cs="Arial"/>
                <w:color w:val="000000"/>
              </w:rPr>
              <w:t>A.技术数据</w:t>
            </w:r>
            <w:r>
              <w:rPr>
                <w:rFonts w:hint="eastAsia" w:ascii="宋体" w:hAnsi="宋体" w:cs="Arial"/>
                <w:color w:val="000000"/>
                <w:lang w:eastAsia="zh-CN"/>
              </w:rPr>
              <w:t>（</w:t>
            </w:r>
            <w:r>
              <w:rPr>
                <w:rFonts w:ascii="宋体" w:hAnsi="宋体" w:cs="Arial"/>
                <w:color w:val="000000"/>
                <w:u w:val="single"/>
              </w:rPr>
              <w:t>设备技术说明</w:t>
            </w:r>
            <w:r>
              <w:rPr>
                <w:rFonts w:hint="eastAsia" w:ascii="宋体" w:hAnsi="宋体" w:cs="Arial"/>
                <w:color w:val="000000"/>
                <w:lang w:val="en-US" w:eastAsia="zh-CN"/>
              </w:rPr>
              <w:t xml:space="preserve"> 、</w:t>
            </w:r>
            <w:r>
              <w:rPr>
                <w:rFonts w:ascii="宋体" w:hAnsi="宋体" w:cs="Arial"/>
                <w:color w:val="000000"/>
                <w:u w:val="single"/>
              </w:rPr>
              <w:t>设备详细尺寸</w:t>
            </w:r>
            <w:r>
              <w:rPr>
                <w:rFonts w:hint="eastAsia" w:ascii="宋体" w:hAnsi="宋体" w:cs="Arial"/>
                <w:color w:val="000000"/>
                <w:lang w:eastAsia="zh-CN"/>
              </w:rPr>
              <w:t>、</w:t>
            </w:r>
            <w:r>
              <w:rPr>
                <w:rFonts w:ascii="宋体" w:hAnsi="宋体" w:cs="Arial"/>
                <w:color w:val="000000"/>
                <w:u w:val="single"/>
              </w:rPr>
              <w:t>描述</w:t>
            </w:r>
            <w:r>
              <w:rPr>
                <w:rFonts w:hint="eastAsia" w:ascii="宋体" w:hAnsi="宋体" w:cs="Arial"/>
                <w:color w:val="000000"/>
                <w:lang w:eastAsia="zh-CN"/>
              </w:rPr>
              <w:t>）</w:t>
            </w:r>
          </w:p>
          <w:p>
            <w:pPr>
              <w:tabs>
                <w:tab w:val="left" w:pos="567"/>
                <w:tab w:val="left" w:pos="851"/>
              </w:tabs>
              <w:spacing w:before="60" w:after="60" w:line="360" w:lineRule="exact"/>
              <w:ind w:left="567" w:hanging="567"/>
              <w:rPr>
                <w:rFonts w:hint="eastAsia" w:ascii="宋体" w:hAnsi="宋体" w:eastAsia="宋体" w:cs="Arial"/>
                <w:color w:val="000000"/>
                <w:lang w:eastAsia="zh-CN"/>
              </w:rPr>
            </w:pPr>
            <w:r>
              <w:rPr>
                <w:rFonts w:ascii="宋体" w:hAnsi="宋体" w:cs="Arial"/>
                <w:color w:val="000000"/>
              </w:rPr>
              <w:t>B.安装和空间要求</w:t>
            </w:r>
            <w:r>
              <w:rPr>
                <w:rFonts w:hint="eastAsia" w:ascii="宋体" w:hAnsi="宋体" w:cs="Arial"/>
                <w:color w:val="000000"/>
                <w:lang w:eastAsia="zh-CN"/>
              </w:rPr>
              <w:t>（</w:t>
            </w:r>
            <w:r>
              <w:rPr>
                <w:rFonts w:ascii="宋体" w:hAnsi="宋体" w:cs="Arial"/>
                <w:color w:val="000000"/>
                <w:u w:val="single"/>
              </w:rPr>
              <w:t>基础和空间要求</w:t>
            </w:r>
            <w:r>
              <w:rPr>
                <w:rFonts w:hint="eastAsia" w:ascii="宋体" w:hAnsi="宋体" w:cs="Arial"/>
                <w:color w:val="000000"/>
                <w:lang w:eastAsia="zh-CN"/>
              </w:rPr>
              <w:t>、</w:t>
            </w:r>
            <w:r>
              <w:rPr>
                <w:rFonts w:ascii="宋体" w:hAnsi="宋体" w:cs="Arial"/>
                <w:color w:val="000000"/>
                <w:u w:val="single"/>
              </w:rPr>
              <w:t>安装时的运输</w:t>
            </w:r>
            <w:r>
              <w:rPr>
                <w:rFonts w:hint="eastAsia" w:ascii="宋体" w:hAnsi="宋体" w:cs="Arial"/>
                <w:color w:val="000000"/>
                <w:lang w:eastAsia="zh-CN"/>
              </w:rPr>
              <w:t>）</w:t>
            </w:r>
          </w:p>
          <w:p>
            <w:pPr>
              <w:tabs>
                <w:tab w:val="left" w:pos="567"/>
              </w:tabs>
              <w:spacing w:before="60" w:after="60" w:line="360" w:lineRule="exact"/>
              <w:ind w:left="567" w:hanging="567"/>
              <w:rPr>
                <w:rFonts w:hint="eastAsia" w:ascii="宋体" w:hAnsi="宋体" w:eastAsia="宋体" w:cs="Arial"/>
                <w:color w:val="000000"/>
                <w:lang w:eastAsia="zh-CN"/>
              </w:rPr>
            </w:pPr>
            <w:r>
              <w:rPr>
                <w:rFonts w:ascii="宋体" w:hAnsi="宋体" w:cs="Arial"/>
                <w:color w:val="000000"/>
              </w:rPr>
              <w:t>C.使用说明书</w:t>
            </w:r>
            <w:r>
              <w:rPr>
                <w:rFonts w:hint="eastAsia" w:ascii="宋体" w:hAnsi="宋体" w:cs="Arial"/>
                <w:color w:val="000000"/>
                <w:lang w:eastAsia="zh-CN"/>
              </w:rPr>
              <w:t>（</w:t>
            </w:r>
            <w:r>
              <w:rPr>
                <w:rFonts w:ascii="宋体" w:hAnsi="宋体" w:cs="Arial"/>
                <w:color w:val="000000"/>
                <w:u w:val="single"/>
              </w:rPr>
              <w:t>操作</w:t>
            </w:r>
            <w:r>
              <w:rPr>
                <w:rFonts w:hint="eastAsia" w:ascii="宋体" w:hAnsi="宋体" w:cs="Arial"/>
                <w:color w:val="000000"/>
                <w:lang w:eastAsia="zh-CN"/>
              </w:rPr>
              <w:t>、</w:t>
            </w:r>
            <w:r>
              <w:rPr>
                <w:rFonts w:ascii="宋体" w:hAnsi="宋体" w:cs="Arial"/>
                <w:color w:val="000000"/>
                <w:u w:val="single"/>
              </w:rPr>
              <w:t>检查和问题解答</w:t>
            </w:r>
            <w:r>
              <w:rPr>
                <w:rFonts w:hint="eastAsia" w:ascii="宋体" w:hAnsi="宋体" w:cs="Arial"/>
                <w:color w:val="000000"/>
                <w:lang w:eastAsia="zh-CN"/>
              </w:rPr>
              <w:t>）</w:t>
            </w:r>
          </w:p>
          <w:p>
            <w:pPr>
              <w:tabs>
                <w:tab w:val="left" w:pos="567"/>
                <w:tab w:val="left" w:pos="851"/>
              </w:tabs>
              <w:spacing w:before="60" w:after="60" w:line="360" w:lineRule="exact"/>
              <w:ind w:left="567" w:hanging="567"/>
              <w:rPr>
                <w:rFonts w:hint="eastAsia" w:ascii="宋体" w:hAnsi="宋体" w:eastAsia="宋体" w:cs="Arial"/>
                <w:color w:val="000000"/>
                <w:lang w:eastAsia="zh-CN"/>
              </w:rPr>
            </w:pPr>
            <w:r>
              <w:rPr>
                <w:rFonts w:ascii="宋体" w:hAnsi="宋体" w:cs="Arial"/>
                <w:color w:val="000000"/>
              </w:rPr>
              <w:t>D.维护说明书</w:t>
            </w:r>
            <w:r>
              <w:rPr>
                <w:rFonts w:hint="eastAsia" w:ascii="宋体" w:hAnsi="宋体" w:cs="Arial"/>
                <w:color w:val="000000"/>
                <w:lang w:eastAsia="zh-CN"/>
              </w:rPr>
              <w:t>（</w:t>
            </w:r>
            <w:r>
              <w:rPr>
                <w:rFonts w:ascii="宋体" w:hAnsi="宋体" w:cs="Arial"/>
                <w:color w:val="000000"/>
                <w:u w:val="single"/>
              </w:rPr>
              <w:t>维护</w:t>
            </w:r>
            <w:r>
              <w:rPr>
                <w:rFonts w:hint="eastAsia" w:ascii="宋体" w:hAnsi="宋体" w:cs="Arial"/>
                <w:color w:val="000000"/>
                <w:lang w:eastAsia="zh-CN"/>
              </w:rPr>
              <w:t>、</w:t>
            </w:r>
            <w:r>
              <w:rPr>
                <w:rFonts w:ascii="宋体" w:hAnsi="宋体" w:cs="Arial"/>
                <w:color w:val="000000"/>
                <w:u w:val="single"/>
              </w:rPr>
              <w:t>润滑</w:t>
            </w:r>
            <w:r>
              <w:rPr>
                <w:rFonts w:hint="eastAsia" w:ascii="宋体" w:hAnsi="宋体" w:cs="Arial"/>
                <w:color w:val="000000"/>
                <w:lang w:eastAsia="zh-CN"/>
              </w:rPr>
              <w:t>）</w:t>
            </w:r>
          </w:p>
          <w:p>
            <w:pPr>
              <w:widowControl/>
              <w:tabs>
                <w:tab w:val="left" w:pos="1527"/>
              </w:tabs>
              <w:spacing w:before="60" w:after="60" w:line="360" w:lineRule="exact"/>
              <w:jc w:val="left"/>
              <w:rPr>
                <w:rFonts w:hint="eastAsia" w:ascii="宋体" w:hAnsi="宋体" w:eastAsia="宋体" w:cs="Arial"/>
                <w:color w:val="000000"/>
                <w:lang w:eastAsia="zh-CN"/>
              </w:rPr>
            </w:pPr>
            <w:r>
              <w:rPr>
                <w:rFonts w:ascii="宋体" w:hAnsi="宋体" w:cs="Arial"/>
                <w:color w:val="000000"/>
              </w:rPr>
              <w:t>E.图纸和零件表</w:t>
            </w:r>
            <w:r>
              <w:rPr>
                <w:rFonts w:hint="eastAsia" w:ascii="宋体" w:hAnsi="宋体" w:cs="Arial"/>
                <w:color w:val="000000"/>
                <w:lang w:val="en-US" w:eastAsia="zh-CN"/>
              </w:rPr>
              <w:t xml:space="preserve"> （</w:t>
            </w:r>
            <w:r>
              <w:rPr>
                <w:rFonts w:ascii="宋体" w:hAnsi="宋体" w:cs="Arial"/>
                <w:color w:val="000000"/>
              </w:rPr>
              <w:t>机械部分</w:t>
            </w:r>
            <w:r>
              <w:rPr>
                <w:rFonts w:hint="eastAsia" w:ascii="宋体" w:hAnsi="宋体" w:cs="Arial"/>
                <w:color w:val="000000"/>
                <w:lang w:eastAsia="zh-CN"/>
              </w:rPr>
              <w:t>、</w:t>
            </w:r>
            <w:r>
              <w:rPr>
                <w:rFonts w:ascii="宋体" w:hAnsi="宋体" w:cs="Arial"/>
                <w:color w:val="000000"/>
              </w:rPr>
              <w:t>电气部分</w:t>
            </w:r>
            <w:r>
              <w:rPr>
                <w:rFonts w:hint="eastAsia" w:ascii="宋体" w:hAnsi="宋体" w:cs="Arial"/>
                <w:color w:val="000000"/>
                <w:lang w:eastAsia="zh-CN"/>
              </w:rPr>
              <w:t>、</w:t>
            </w:r>
            <w:r>
              <w:rPr>
                <w:rFonts w:ascii="宋体" w:hAnsi="宋体" w:cs="Arial"/>
                <w:color w:val="000000"/>
              </w:rPr>
              <w:t>仪器仪表</w:t>
            </w:r>
            <w:r>
              <w:rPr>
                <w:rFonts w:hint="eastAsia" w:ascii="宋体" w:hAnsi="宋体" w:cs="Arial"/>
                <w:color w:val="000000"/>
                <w:lang w:eastAsia="zh-CN"/>
              </w:rPr>
              <w:t>）</w:t>
            </w:r>
          </w:p>
          <w:p>
            <w:pPr>
              <w:tabs>
                <w:tab w:val="left" w:pos="990"/>
              </w:tabs>
              <w:spacing w:before="60" w:after="60" w:line="360" w:lineRule="exact"/>
              <w:ind w:left="567" w:hanging="567"/>
              <w:rPr>
                <w:rFonts w:ascii="宋体" w:hAnsi="宋体" w:cs="Arial"/>
                <w:color w:val="000000"/>
              </w:rPr>
            </w:pPr>
            <w:r>
              <w:rPr>
                <w:rFonts w:ascii="宋体" w:hAnsi="宋体" w:cs="Arial"/>
                <w:color w:val="000000"/>
              </w:rPr>
              <w:t>F.仪器仪表校准证明</w:t>
            </w:r>
          </w:p>
          <w:p>
            <w:pPr>
              <w:tabs>
                <w:tab w:val="left" w:pos="990"/>
              </w:tabs>
              <w:spacing w:before="60" w:after="60" w:line="360" w:lineRule="exact"/>
              <w:ind w:left="567" w:hanging="567"/>
              <w:rPr>
                <w:rFonts w:ascii="宋体" w:hAnsi="宋体" w:cs="Arial"/>
                <w:color w:val="000000"/>
              </w:rPr>
            </w:pPr>
            <w:r>
              <w:rPr>
                <w:rFonts w:ascii="宋体" w:hAnsi="宋体" w:cs="Arial"/>
                <w:color w:val="000000"/>
              </w:rPr>
              <w:t>G.推荐的备件</w:t>
            </w:r>
          </w:p>
        </w:tc>
        <w:tc>
          <w:tcPr>
            <w:tcW w:w="1530" w:type="dxa"/>
            <w:vAlign w:val="center"/>
          </w:tcPr>
          <w:p>
            <w:pPr>
              <w:spacing w:line="400" w:lineRule="exact"/>
              <w:jc w:val="center"/>
              <w:rPr>
                <w:rFonts w:ascii="宋体" w:hAnsi="宋体"/>
                <w:color w:val="000000"/>
              </w:rPr>
            </w:pPr>
            <w:r>
              <w:rPr>
                <w:rFonts w:ascii="宋体" w:hAnsi="宋体"/>
                <w:color w:val="000000"/>
              </w:rPr>
              <w:t>必需</w:t>
            </w:r>
          </w:p>
        </w:tc>
      </w:tr>
    </w:tbl>
    <w:p>
      <w:pPr>
        <w:pStyle w:val="3"/>
        <w:rPr>
          <w:rFonts w:ascii="宋体" w:hAnsi="宋体"/>
          <w:color w:val="000000"/>
        </w:rPr>
      </w:pPr>
      <w:bookmarkStart w:id="92" w:name="_Toc328058288"/>
      <w:bookmarkStart w:id="93" w:name="_Toc228851759"/>
      <w:bookmarkStart w:id="94" w:name="_Toc23165150"/>
      <w:r>
        <w:rPr>
          <w:rFonts w:hint="eastAsia" w:ascii="宋体" w:hAnsi="宋体"/>
          <w:color w:val="000000"/>
        </w:rPr>
        <w:t>备品零件要求</w:t>
      </w:r>
      <w:r>
        <w:rPr>
          <w:rFonts w:ascii="宋体" w:hAnsi="宋体"/>
          <w:color w:val="000000"/>
        </w:rPr>
        <w:t>:</w:t>
      </w:r>
      <w:bookmarkEnd w:id="92"/>
      <w:bookmarkEnd w:id="93"/>
      <w:bookmarkEnd w:id="94"/>
    </w:p>
    <w:tbl>
      <w:tblPr>
        <w:tblStyle w:val="24"/>
        <w:tblW w:w="9990" w:type="dxa"/>
        <w:tblInd w:w="-21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7140"/>
        <w:gridCol w:w="148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365"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140"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485" w:type="dxa"/>
            <w:shd w:val="clear" w:color="auto" w:fill="C0C0C0"/>
            <w:vAlign w:val="center"/>
          </w:tcPr>
          <w:p>
            <w:pPr>
              <w:pStyle w:val="69"/>
              <w:tabs>
                <w:tab w:val="center" w:pos="2268"/>
                <w:tab w:val="right" w:pos="5387"/>
                <w:tab w:val="clear" w:pos="4820"/>
                <w:tab w:val="clear" w:pos="9639"/>
              </w:tabs>
              <w:snapToGrid w:val="0"/>
              <w:spacing w:before="0" w:after="0" w:line="40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65"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086</w:t>
            </w:r>
          </w:p>
        </w:tc>
        <w:tc>
          <w:tcPr>
            <w:tcW w:w="7140" w:type="dxa"/>
            <w:vAlign w:val="center"/>
          </w:tcPr>
          <w:p>
            <w:pPr>
              <w:pStyle w:val="69"/>
              <w:tabs>
                <w:tab w:val="center" w:pos="2268"/>
                <w:tab w:val="right" w:pos="5387"/>
                <w:tab w:val="clear" w:pos="4820"/>
                <w:tab w:val="clear" w:pos="9639"/>
              </w:tabs>
              <w:spacing w:before="0" w:after="0" w:line="400" w:lineRule="exact"/>
              <w:rPr>
                <w:rFonts w:ascii="宋体" w:hAnsi="宋体"/>
                <w:b w:val="0"/>
                <w:caps w:val="0"/>
                <w:color w:val="000000"/>
                <w:kern w:val="2"/>
                <w:lang w:val="en-US" w:eastAsia="zh-CN"/>
              </w:rPr>
            </w:pPr>
            <w:r>
              <w:rPr>
                <w:rFonts w:hint="eastAsia" w:ascii="宋体" w:hAnsi="宋体"/>
                <w:b w:val="0"/>
                <w:caps w:val="0"/>
                <w:color w:val="000000"/>
                <w:kern w:val="2"/>
                <w:lang w:val="en-US" w:eastAsia="zh-CN"/>
              </w:rPr>
              <w:t>卖方应提供设备所需易耗、易损件清单以及保修期内的易损件。</w:t>
            </w:r>
          </w:p>
        </w:tc>
        <w:tc>
          <w:tcPr>
            <w:tcW w:w="1485" w:type="dxa"/>
            <w:vAlign w:val="center"/>
          </w:tcPr>
          <w:p>
            <w:pPr>
              <w:spacing w:line="400" w:lineRule="exact"/>
              <w:jc w:val="center"/>
              <w:rPr>
                <w:rFonts w:ascii="宋体" w:hAnsi="宋体"/>
                <w:color w:val="000000"/>
              </w:rPr>
            </w:pPr>
            <w:r>
              <w:rPr>
                <w:rFonts w:ascii="宋体" w:hAnsi="宋体"/>
                <w:color w:val="000000"/>
              </w:rPr>
              <w:t>必需</w:t>
            </w:r>
          </w:p>
        </w:tc>
      </w:tr>
    </w:tbl>
    <w:p>
      <w:pPr>
        <w:pStyle w:val="3"/>
        <w:rPr>
          <w:rFonts w:ascii="宋体" w:hAnsi="宋体"/>
          <w:color w:val="000000"/>
        </w:rPr>
      </w:pPr>
      <w:bookmarkStart w:id="95" w:name="_Toc328058289"/>
      <w:bookmarkStart w:id="96" w:name="_Toc228851760"/>
      <w:bookmarkStart w:id="97" w:name="_Toc23165151"/>
      <w:r>
        <w:rPr>
          <w:rFonts w:hint="eastAsia" w:ascii="宋体" w:hAnsi="宋体"/>
          <w:color w:val="000000"/>
        </w:rPr>
        <w:t>安装调试要求：</w:t>
      </w:r>
      <w:bookmarkEnd w:id="95"/>
      <w:bookmarkEnd w:id="96"/>
      <w:bookmarkEnd w:id="97"/>
    </w:p>
    <w:tbl>
      <w:tblPr>
        <w:tblStyle w:val="24"/>
        <w:tblW w:w="10035" w:type="dxa"/>
        <w:tblInd w:w="-202"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7185"/>
        <w:gridCol w:w="153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320"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185"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530" w:type="dxa"/>
            <w:shd w:val="clear" w:color="auto" w:fill="C0C0C0"/>
            <w:vAlign w:val="center"/>
          </w:tcPr>
          <w:p>
            <w:pPr>
              <w:pStyle w:val="69"/>
              <w:tabs>
                <w:tab w:val="center" w:pos="2268"/>
                <w:tab w:val="right" w:pos="5387"/>
                <w:tab w:val="clear" w:pos="4820"/>
                <w:tab w:val="clear" w:pos="9639"/>
              </w:tabs>
              <w:snapToGrid w:val="0"/>
              <w:spacing w:before="0" w:after="0" w:line="40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0"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087</w:t>
            </w:r>
          </w:p>
        </w:tc>
        <w:tc>
          <w:tcPr>
            <w:tcW w:w="7185" w:type="dxa"/>
            <w:vAlign w:val="center"/>
          </w:tcPr>
          <w:p>
            <w:pPr>
              <w:spacing w:line="400" w:lineRule="exact"/>
              <w:rPr>
                <w:rFonts w:ascii="宋体" w:hAnsi="宋体"/>
                <w:color w:val="000000"/>
              </w:rPr>
            </w:pPr>
            <w:r>
              <w:rPr>
                <w:rFonts w:hint="eastAsia" w:ascii="宋体" w:hAnsi="宋体"/>
                <w:color w:val="000000"/>
              </w:rPr>
              <w:t>设备到货拆箱时供应商必须陪同现场人员进行拆箱</w:t>
            </w:r>
            <w:r>
              <w:rPr>
                <w:rFonts w:ascii="宋体" w:hAnsi="宋体"/>
                <w:color w:val="000000"/>
              </w:rPr>
              <w:t>,</w:t>
            </w:r>
            <w:r>
              <w:rPr>
                <w:rFonts w:hint="eastAsia" w:ascii="宋体" w:hAnsi="宋体"/>
                <w:color w:val="000000"/>
              </w:rPr>
              <w:t>如供应商授权我方自行拆箱</w:t>
            </w:r>
            <w:r>
              <w:rPr>
                <w:rFonts w:ascii="宋体" w:hAnsi="宋体"/>
                <w:color w:val="000000"/>
              </w:rPr>
              <w:t>,</w:t>
            </w:r>
            <w:r>
              <w:rPr>
                <w:rFonts w:hint="eastAsia" w:ascii="宋体" w:hAnsi="宋体"/>
                <w:color w:val="000000"/>
              </w:rPr>
              <w:t>拆箱后如发现设备及其附件有任何损坏、缺少，供应商应负全责不得推诿。</w:t>
            </w:r>
          </w:p>
        </w:tc>
        <w:tc>
          <w:tcPr>
            <w:tcW w:w="1530"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0"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088</w:t>
            </w:r>
          </w:p>
        </w:tc>
        <w:tc>
          <w:tcPr>
            <w:tcW w:w="7185" w:type="dxa"/>
            <w:vAlign w:val="center"/>
          </w:tcPr>
          <w:p>
            <w:pPr>
              <w:spacing w:line="400" w:lineRule="exact"/>
              <w:rPr>
                <w:rFonts w:ascii="宋体" w:hAnsi="宋体"/>
                <w:color w:val="000000"/>
              </w:rPr>
            </w:pPr>
            <w:r>
              <w:rPr>
                <w:rFonts w:hint="eastAsia" w:ascii="宋体" w:hAnsi="宋体"/>
                <w:color w:val="000000"/>
              </w:rPr>
              <w:t>设备订购后供应商负责送货至用户厂内，用户厂内搬运、吊装及安装期间供应商至少需有一人全程配合。</w:t>
            </w:r>
          </w:p>
        </w:tc>
        <w:tc>
          <w:tcPr>
            <w:tcW w:w="1530"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0"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089</w:t>
            </w:r>
          </w:p>
        </w:tc>
        <w:tc>
          <w:tcPr>
            <w:tcW w:w="7185" w:type="dxa"/>
            <w:vAlign w:val="center"/>
          </w:tcPr>
          <w:p>
            <w:pPr>
              <w:rPr>
                <w:rFonts w:ascii="宋体" w:hAnsi="宋体"/>
                <w:color w:val="000000"/>
              </w:rPr>
            </w:pPr>
            <w:r>
              <w:rPr>
                <w:rFonts w:hint="eastAsia" w:ascii="宋体" w:hAnsi="宋体"/>
                <w:color w:val="000000"/>
              </w:rPr>
              <w:t>零件更换等寄送费用</w:t>
            </w:r>
            <w:r>
              <w:rPr>
                <w:rFonts w:ascii="宋体" w:hAnsi="宋体"/>
                <w:color w:val="000000"/>
              </w:rPr>
              <w:t>,</w:t>
            </w:r>
            <w:r>
              <w:rPr>
                <w:rFonts w:hint="eastAsia" w:ascii="宋体" w:hAnsi="宋体"/>
                <w:color w:val="000000"/>
              </w:rPr>
              <w:t>由供应商负责。</w:t>
            </w:r>
          </w:p>
        </w:tc>
        <w:tc>
          <w:tcPr>
            <w:tcW w:w="1530"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0"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090</w:t>
            </w:r>
          </w:p>
        </w:tc>
        <w:tc>
          <w:tcPr>
            <w:tcW w:w="7185" w:type="dxa"/>
            <w:vAlign w:val="center"/>
          </w:tcPr>
          <w:p>
            <w:pPr>
              <w:pStyle w:val="69"/>
              <w:tabs>
                <w:tab w:val="center" w:pos="2268"/>
                <w:tab w:val="right" w:pos="5387"/>
                <w:tab w:val="clear" w:pos="4820"/>
                <w:tab w:val="clear" w:pos="9639"/>
              </w:tabs>
              <w:spacing w:before="0" w:after="0" w:line="400" w:lineRule="exact"/>
              <w:jc w:val="both"/>
              <w:rPr>
                <w:rFonts w:ascii="宋体" w:hAnsi="宋体"/>
                <w:b w:val="0"/>
                <w:caps w:val="0"/>
                <w:color w:val="000000"/>
                <w:kern w:val="2"/>
                <w:lang w:val="en-US" w:eastAsia="zh-CN"/>
              </w:rPr>
            </w:pPr>
            <w:r>
              <w:rPr>
                <w:rFonts w:hint="eastAsia" w:ascii="宋体" w:hAnsi="宋体"/>
                <w:b w:val="0"/>
                <w:color w:val="000000"/>
                <w:lang w:eastAsia="zh-CN"/>
              </w:rPr>
              <w:t>供应商进厂施工需遵守我方施工规则施工。</w:t>
            </w:r>
          </w:p>
        </w:tc>
        <w:tc>
          <w:tcPr>
            <w:tcW w:w="1530" w:type="dxa"/>
            <w:vAlign w:val="center"/>
          </w:tcPr>
          <w:p>
            <w:pPr>
              <w:spacing w:line="400" w:lineRule="exact"/>
              <w:jc w:val="center"/>
              <w:rPr>
                <w:rFonts w:ascii="宋体" w:hAnsi="宋体"/>
                <w:color w:val="000000"/>
              </w:rPr>
            </w:pPr>
            <w:r>
              <w:rPr>
                <w:rFonts w:ascii="宋体" w:hAnsi="宋体"/>
                <w:color w:val="000000"/>
              </w:rPr>
              <w:t>必需</w:t>
            </w:r>
          </w:p>
        </w:tc>
      </w:tr>
    </w:tbl>
    <w:p>
      <w:pPr>
        <w:pStyle w:val="3"/>
        <w:rPr>
          <w:rFonts w:ascii="宋体" w:hAnsi="宋体"/>
          <w:color w:val="000000"/>
        </w:rPr>
      </w:pPr>
      <w:bookmarkStart w:id="98" w:name="_Toc228851761"/>
      <w:bookmarkStart w:id="99" w:name="_Toc23165152"/>
      <w:bookmarkStart w:id="100" w:name="_Toc328058290"/>
      <w:r>
        <w:rPr>
          <w:rFonts w:hint="eastAsia" w:ascii="宋体" w:hAnsi="宋体"/>
          <w:color w:val="000000"/>
        </w:rPr>
        <w:t>SAT要求</w:t>
      </w:r>
      <w:bookmarkEnd w:id="98"/>
      <w:bookmarkEnd w:id="99"/>
      <w:bookmarkEnd w:id="100"/>
    </w:p>
    <w:tbl>
      <w:tblPr>
        <w:tblStyle w:val="24"/>
        <w:tblW w:w="10020" w:type="dxa"/>
        <w:tblInd w:w="-18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7215"/>
        <w:gridCol w:w="15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290"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215"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515" w:type="dxa"/>
            <w:shd w:val="clear" w:color="auto" w:fill="C0C0C0"/>
            <w:vAlign w:val="center"/>
          </w:tcPr>
          <w:p>
            <w:pPr>
              <w:pStyle w:val="69"/>
              <w:tabs>
                <w:tab w:val="center" w:pos="2268"/>
                <w:tab w:val="right" w:pos="5387"/>
                <w:tab w:val="clear" w:pos="4820"/>
                <w:tab w:val="clear" w:pos="9639"/>
              </w:tabs>
              <w:snapToGrid w:val="0"/>
              <w:spacing w:before="0" w:after="0" w:line="40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091</w:t>
            </w:r>
          </w:p>
        </w:tc>
        <w:tc>
          <w:tcPr>
            <w:tcW w:w="7215" w:type="dxa"/>
            <w:vAlign w:val="center"/>
          </w:tcPr>
          <w:p>
            <w:pPr>
              <w:rPr>
                <w:rFonts w:ascii="宋体" w:hAnsi="宋体"/>
                <w:color w:val="000000"/>
              </w:rPr>
            </w:pPr>
            <w:r>
              <w:rPr>
                <w:rFonts w:hint="eastAsia" w:ascii="宋体" w:hAnsi="宋体"/>
                <w:color w:val="000000"/>
              </w:rPr>
              <w:t>依合约内容条件逐一验收。</w:t>
            </w:r>
          </w:p>
        </w:tc>
        <w:tc>
          <w:tcPr>
            <w:tcW w:w="1515"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092</w:t>
            </w:r>
          </w:p>
        </w:tc>
        <w:tc>
          <w:tcPr>
            <w:tcW w:w="7215" w:type="dxa"/>
            <w:vAlign w:val="center"/>
          </w:tcPr>
          <w:p>
            <w:pPr>
              <w:spacing w:line="400" w:lineRule="exact"/>
              <w:rPr>
                <w:rFonts w:ascii="宋体" w:hAnsi="宋体"/>
                <w:color w:val="000000"/>
              </w:rPr>
            </w:pPr>
            <w:r>
              <w:rPr>
                <w:rFonts w:hint="eastAsia" w:ascii="宋体" w:hAnsi="宋体"/>
                <w:color w:val="000000"/>
              </w:rPr>
              <w:t>在设备就位后，供应商应负责设备调试工作，只有当设备完全符合上述工艺、设备、电气等条件且车间正常生产2天后方可离开。</w:t>
            </w:r>
          </w:p>
        </w:tc>
        <w:tc>
          <w:tcPr>
            <w:tcW w:w="1515"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290"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093</w:t>
            </w:r>
          </w:p>
        </w:tc>
        <w:tc>
          <w:tcPr>
            <w:tcW w:w="7215" w:type="dxa"/>
            <w:vAlign w:val="center"/>
          </w:tcPr>
          <w:p>
            <w:pPr>
              <w:pStyle w:val="69"/>
              <w:tabs>
                <w:tab w:val="center" w:pos="2268"/>
                <w:tab w:val="right" w:pos="5387"/>
                <w:tab w:val="clear" w:pos="4820"/>
                <w:tab w:val="clear" w:pos="9639"/>
              </w:tabs>
              <w:spacing w:before="0" w:after="0" w:line="400" w:lineRule="exact"/>
              <w:jc w:val="both"/>
              <w:rPr>
                <w:rFonts w:ascii="宋体" w:hAnsi="宋体"/>
                <w:b w:val="0"/>
                <w:caps w:val="0"/>
                <w:color w:val="000000"/>
                <w:kern w:val="2"/>
                <w:lang w:val="en-US" w:eastAsia="zh-CN"/>
              </w:rPr>
            </w:pPr>
            <w:r>
              <w:rPr>
                <w:rFonts w:hint="eastAsia" w:ascii="宋体" w:hAnsi="宋体"/>
                <w:b w:val="0"/>
                <w:color w:val="000000"/>
                <w:lang w:eastAsia="zh-CN"/>
              </w:rPr>
              <w:t>设备交货期</w:t>
            </w:r>
            <w:r>
              <w:rPr>
                <w:rFonts w:hint="eastAsia" w:ascii="宋体" w:hAnsi="宋体"/>
                <w:b w:val="0"/>
                <w:color w:val="auto"/>
                <w:lang w:eastAsia="zh-CN"/>
              </w:rPr>
              <w:t>为</w:t>
            </w:r>
            <w:r>
              <w:rPr>
                <w:rFonts w:hint="eastAsia" w:ascii="宋体" w:hAnsi="宋体"/>
                <w:b w:val="0"/>
                <w:color w:val="auto"/>
                <w:lang w:val="en-US" w:eastAsia="zh-CN"/>
              </w:rPr>
              <w:t>60</w:t>
            </w:r>
            <w:r>
              <w:rPr>
                <w:rFonts w:hint="eastAsia" w:ascii="宋体" w:hAnsi="宋体"/>
                <w:b w:val="0"/>
                <w:color w:val="auto"/>
                <w:lang w:eastAsia="zh-CN"/>
              </w:rPr>
              <w:t>天</w:t>
            </w:r>
          </w:p>
        </w:tc>
        <w:tc>
          <w:tcPr>
            <w:tcW w:w="1515" w:type="dxa"/>
            <w:vAlign w:val="center"/>
          </w:tcPr>
          <w:p>
            <w:pPr>
              <w:spacing w:line="400" w:lineRule="exact"/>
              <w:jc w:val="center"/>
              <w:rPr>
                <w:rFonts w:ascii="宋体" w:hAnsi="宋体"/>
                <w:color w:val="000000"/>
              </w:rPr>
            </w:pPr>
            <w:r>
              <w:rPr>
                <w:rFonts w:ascii="宋体" w:hAnsi="宋体"/>
                <w:color w:val="000000"/>
              </w:rPr>
              <w:t>必需</w:t>
            </w:r>
          </w:p>
        </w:tc>
      </w:tr>
    </w:tbl>
    <w:p>
      <w:pPr>
        <w:pStyle w:val="3"/>
        <w:rPr>
          <w:rFonts w:ascii="宋体" w:hAnsi="宋体"/>
          <w:color w:val="000000"/>
        </w:rPr>
      </w:pPr>
      <w:bookmarkStart w:id="101" w:name="_Toc328058291"/>
      <w:bookmarkStart w:id="102" w:name="_Toc23165153"/>
      <w:bookmarkStart w:id="103" w:name="_Toc228851762"/>
      <w:r>
        <w:rPr>
          <w:rFonts w:hint="eastAsia" w:ascii="宋体" w:hAnsi="宋体"/>
          <w:color w:val="000000"/>
        </w:rPr>
        <w:t>培训要求</w:t>
      </w:r>
      <w:bookmarkEnd w:id="101"/>
      <w:bookmarkEnd w:id="102"/>
      <w:bookmarkEnd w:id="103"/>
    </w:p>
    <w:tbl>
      <w:tblPr>
        <w:tblStyle w:val="24"/>
        <w:tblW w:w="9990" w:type="dxa"/>
        <w:tblInd w:w="-18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7215"/>
        <w:gridCol w:w="145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c>
          <w:tcPr>
            <w:tcW w:w="1320"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215"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455" w:type="dxa"/>
            <w:shd w:val="clear" w:color="auto" w:fill="C0C0C0"/>
            <w:vAlign w:val="center"/>
          </w:tcPr>
          <w:p>
            <w:pPr>
              <w:pStyle w:val="69"/>
              <w:tabs>
                <w:tab w:val="center" w:pos="2268"/>
                <w:tab w:val="right" w:pos="5387"/>
                <w:tab w:val="clear" w:pos="4820"/>
                <w:tab w:val="clear" w:pos="9639"/>
              </w:tabs>
              <w:snapToGrid w:val="0"/>
              <w:spacing w:before="0" w:after="0" w:line="40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trHeight w:val="361" w:hRule="atLeast"/>
        </w:trPr>
        <w:tc>
          <w:tcPr>
            <w:tcW w:w="1320"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094</w:t>
            </w:r>
          </w:p>
        </w:tc>
        <w:tc>
          <w:tcPr>
            <w:tcW w:w="7215" w:type="dxa"/>
            <w:vAlign w:val="center"/>
          </w:tcPr>
          <w:p>
            <w:pPr>
              <w:spacing w:before="163" w:beforeLines="50"/>
              <w:rPr>
                <w:rFonts w:ascii="宋体" w:hAnsi="宋体"/>
                <w:caps/>
                <w:color w:val="000000"/>
                <w:kern w:val="0"/>
                <w:szCs w:val="20"/>
                <w:lang w:val="en-GB"/>
              </w:rPr>
            </w:pPr>
            <w:r>
              <w:rPr>
                <w:rFonts w:hint="eastAsia" w:ascii="宋体" w:hAnsi="宋体"/>
                <w:caps/>
                <w:color w:val="000000"/>
                <w:kern w:val="0"/>
                <w:szCs w:val="20"/>
                <w:lang w:val="en-GB"/>
              </w:rPr>
              <w:t>用户现场维修、操作培训。供应商免费为需方提供现场培训。</w:t>
            </w:r>
          </w:p>
          <w:p>
            <w:pPr>
              <w:spacing w:before="163" w:beforeLines="50"/>
              <w:rPr>
                <w:rFonts w:ascii="宋体" w:hAnsi="宋体"/>
                <w:caps/>
                <w:color w:val="000000"/>
                <w:kern w:val="0"/>
                <w:szCs w:val="20"/>
                <w:lang w:val="en-GB"/>
              </w:rPr>
            </w:pPr>
            <w:r>
              <w:rPr>
                <w:rFonts w:hint="eastAsia" w:ascii="宋体" w:hAnsi="宋体"/>
                <w:caps/>
                <w:color w:val="000000"/>
                <w:kern w:val="0"/>
                <w:szCs w:val="20"/>
                <w:lang w:val="en-GB"/>
              </w:rPr>
              <w:t>如果有任何系统改进，可在定期的基础上，供应商应通知用户。</w:t>
            </w:r>
          </w:p>
          <w:p>
            <w:pPr>
              <w:spacing w:before="163" w:beforeLines="50"/>
              <w:rPr>
                <w:rFonts w:ascii="宋体" w:hAnsi="宋体"/>
                <w:caps/>
                <w:color w:val="000000"/>
                <w:kern w:val="0"/>
                <w:szCs w:val="20"/>
                <w:lang w:val="en-GB"/>
              </w:rPr>
            </w:pPr>
            <w:r>
              <w:rPr>
                <w:rFonts w:hint="eastAsia" w:ascii="宋体" w:hAnsi="宋体"/>
                <w:caps/>
                <w:color w:val="000000"/>
                <w:kern w:val="0"/>
                <w:szCs w:val="20"/>
                <w:lang w:val="en-GB"/>
              </w:rPr>
              <w:t>调试期间，在需方现场进行技术和操作培训。</w:t>
            </w:r>
          </w:p>
          <w:p>
            <w:pPr>
              <w:pStyle w:val="69"/>
              <w:tabs>
                <w:tab w:val="center" w:pos="2268"/>
                <w:tab w:val="right" w:pos="5387"/>
                <w:tab w:val="clear" w:pos="4820"/>
                <w:tab w:val="clear" w:pos="9639"/>
              </w:tabs>
              <w:spacing w:before="0" w:after="0" w:line="400" w:lineRule="exact"/>
              <w:rPr>
                <w:rFonts w:ascii="宋体" w:hAnsi="宋体"/>
                <w:b w:val="0"/>
                <w:caps w:val="0"/>
                <w:color w:val="000000"/>
                <w:kern w:val="2"/>
                <w:lang w:val="en-US" w:eastAsia="zh-CN"/>
              </w:rPr>
            </w:pPr>
            <w:r>
              <w:rPr>
                <w:rFonts w:hint="eastAsia" w:ascii="宋体" w:hAnsi="宋体"/>
                <w:b w:val="0"/>
                <w:color w:val="000000"/>
                <w:lang w:eastAsia="zh-CN"/>
              </w:rPr>
              <w:t>培训费用由供应商负担。</w:t>
            </w:r>
          </w:p>
        </w:tc>
        <w:tc>
          <w:tcPr>
            <w:tcW w:w="1455" w:type="dxa"/>
            <w:vAlign w:val="center"/>
          </w:tcPr>
          <w:p>
            <w:pPr>
              <w:spacing w:line="400" w:lineRule="exact"/>
              <w:jc w:val="center"/>
              <w:rPr>
                <w:rFonts w:ascii="宋体" w:hAnsi="宋体"/>
                <w:color w:val="000000"/>
              </w:rPr>
            </w:pPr>
            <w:r>
              <w:rPr>
                <w:rFonts w:ascii="宋体" w:hAnsi="宋体"/>
                <w:color w:val="000000"/>
              </w:rPr>
              <w:t>必需</w:t>
            </w:r>
          </w:p>
        </w:tc>
      </w:tr>
    </w:tbl>
    <w:p>
      <w:pPr>
        <w:pStyle w:val="3"/>
        <w:rPr>
          <w:rFonts w:ascii="宋体" w:hAnsi="宋体"/>
          <w:color w:val="000000"/>
        </w:rPr>
      </w:pPr>
      <w:bookmarkStart w:id="104" w:name="_Toc328058292"/>
      <w:bookmarkStart w:id="105" w:name="_Toc23165154"/>
      <w:bookmarkStart w:id="106" w:name="_Toc228851763"/>
      <w:r>
        <w:rPr>
          <w:rFonts w:hint="eastAsia" w:ascii="宋体" w:hAnsi="宋体"/>
          <w:color w:val="000000"/>
        </w:rPr>
        <w:t>保修要求</w:t>
      </w:r>
      <w:bookmarkEnd w:id="104"/>
      <w:bookmarkEnd w:id="105"/>
      <w:bookmarkEnd w:id="106"/>
    </w:p>
    <w:tbl>
      <w:tblPr>
        <w:tblStyle w:val="24"/>
        <w:tblW w:w="10050" w:type="dxa"/>
        <w:tblInd w:w="-202"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7200"/>
        <w:gridCol w:w="148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365"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200"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485" w:type="dxa"/>
            <w:shd w:val="clear" w:color="auto" w:fill="C0C0C0"/>
            <w:vAlign w:val="center"/>
          </w:tcPr>
          <w:p>
            <w:pPr>
              <w:pStyle w:val="69"/>
              <w:tabs>
                <w:tab w:val="center" w:pos="2268"/>
                <w:tab w:val="right" w:pos="5387"/>
                <w:tab w:val="clear" w:pos="4820"/>
                <w:tab w:val="clear" w:pos="9639"/>
              </w:tabs>
              <w:snapToGrid w:val="0"/>
              <w:spacing w:before="0" w:after="0" w:line="40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65"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095</w:t>
            </w:r>
          </w:p>
        </w:tc>
        <w:tc>
          <w:tcPr>
            <w:tcW w:w="7200" w:type="dxa"/>
            <w:vAlign w:val="center"/>
          </w:tcPr>
          <w:p>
            <w:pPr>
              <w:rPr>
                <w:rFonts w:ascii="宋体" w:hAnsi="宋体"/>
                <w:color w:val="000000"/>
              </w:rPr>
            </w:pPr>
            <w:r>
              <w:rPr>
                <w:rFonts w:hint="eastAsia" w:ascii="宋体" w:hAnsi="宋体"/>
                <w:color w:val="000000"/>
              </w:rPr>
              <w:t>设备及其配件应免费保修期限参见合同有关条款。</w:t>
            </w:r>
          </w:p>
        </w:tc>
        <w:tc>
          <w:tcPr>
            <w:tcW w:w="1485"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65"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096</w:t>
            </w:r>
          </w:p>
        </w:tc>
        <w:tc>
          <w:tcPr>
            <w:tcW w:w="7200" w:type="dxa"/>
            <w:vAlign w:val="center"/>
          </w:tcPr>
          <w:p>
            <w:pPr>
              <w:rPr>
                <w:rFonts w:ascii="宋体" w:hAnsi="宋体"/>
                <w:color w:val="000000"/>
              </w:rPr>
            </w:pPr>
            <w:r>
              <w:rPr>
                <w:rFonts w:hint="eastAsia" w:ascii="宋体" w:hAnsi="宋体"/>
                <w:color w:val="000000"/>
              </w:rPr>
              <w:t>在设备发生故障时,卖方应在接到通知在合同规定的时间内赶到现场解决问题</w:t>
            </w:r>
          </w:p>
        </w:tc>
        <w:tc>
          <w:tcPr>
            <w:tcW w:w="1485"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65"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097</w:t>
            </w:r>
          </w:p>
        </w:tc>
        <w:tc>
          <w:tcPr>
            <w:tcW w:w="7200" w:type="dxa"/>
            <w:vAlign w:val="center"/>
          </w:tcPr>
          <w:p>
            <w:pPr>
              <w:spacing w:line="400" w:lineRule="exact"/>
              <w:rPr>
                <w:rFonts w:ascii="宋体" w:hAnsi="宋体"/>
                <w:color w:val="000000"/>
              </w:rPr>
            </w:pPr>
            <w:r>
              <w:rPr>
                <w:rFonts w:hint="eastAsia" w:ascii="宋体" w:hAnsi="宋体"/>
                <w:color w:val="000000"/>
              </w:rPr>
              <w:t>如因设备故障导致停止生产时，需要延长保修期限。同时故障备件供应商需无条件负责免费更换。</w:t>
            </w:r>
          </w:p>
        </w:tc>
        <w:tc>
          <w:tcPr>
            <w:tcW w:w="1485"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65"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098</w:t>
            </w:r>
          </w:p>
        </w:tc>
        <w:tc>
          <w:tcPr>
            <w:tcW w:w="7200" w:type="dxa"/>
            <w:vAlign w:val="center"/>
          </w:tcPr>
          <w:p>
            <w:pPr>
              <w:spacing w:line="400" w:lineRule="exact"/>
              <w:rPr>
                <w:rFonts w:ascii="宋体" w:hAnsi="宋体"/>
                <w:color w:val="000000"/>
              </w:rPr>
            </w:pPr>
            <w:r>
              <w:rPr>
                <w:rFonts w:hint="eastAsia" w:ascii="宋体" w:hAnsi="宋体"/>
                <w:color w:val="000000"/>
              </w:rPr>
              <w:t>供应商应提供10年的保修咨询服务</w:t>
            </w:r>
          </w:p>
        </w:tc>
        <w:tc>
          <w:tcPr>
            <w:tcW w:w="1485" w:type="dxa"/>
            <w:vAlign w:val="center"/>
          </w:tcPr>
          <w:p>
            <w:pPr>
              <w:spacing w:line="400" w:lineRule="exact"/>
              <w:jc w:val="center"/>
              <w:rPr>
                <w:rFonts w:ascii="宋体" w:hAnsi="宋体"/>
                <w:color w:val="000000"/>
              </w:rPr>
            </w:pPr>
          </w:p>
        </w:tc>
      </w:tr>
    </w:tbl>
    <w:p>
      <w:pPr>
        <w:pStyle w:val="3"/>
        <w:rPr>
          <w:rFonts w:ascii="宋体" w:hAnsi="宋体"/>
          <w:color w:val="000000"/>
        </w:rPr>
      </w:pPr>
      <w:bookmarkStart w:id="107" w:name="_Toc328058293"/>
      <w:bookmarkStart w:id="108" w:name="_Toc228851764"/>
      <w:bookmarkStart w:id="109" w:name="_Toc23165155"/>
      <w:r>
        <w:rPr>
          <w:rFonts w:hint="eastAsia" w:ascii="宋体" w:hAnsi="宋体"/>
          <w:color w:val="000000"/>
        </w:rPr>
        <w:t>其它要求</w:t>
      </w:r>
      <w:bookmarkEnd w:id="107"/>
      <w:bookmarkEnd w:id="108"/>
      <w:bookmarkEnd w:id="109"/>
    </w:p>
    <w:tbl>
      <w:tblPr>
        <w:tblStyle w:val="24"/>
        <w:tblW w:w="9990" w:type="dxa"/>
        <w:tblInd w:w="-172"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7230"/>
        <w:gridCol w:w="142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335"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需求编号</w:t>
            </w:r>
          </w:p>
        </w:tc>
        <w:tc>
          <w:tcPr>
            <w:tcW w:w="7230" w:type="dxa"/>
            <w:shd w:val="clear" w:color="auto" w:fill="C0C0C0"/>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需求</w:t>
            </w:r>
          </w:p>
        </w:tc>
        <w:tc>
          <w:tcPr>
            <w:tcW w:w="1425" w:type="dxa"/>
            <w:shd w:val="clear" w:color="auto" w:fill="C0C0C0"/>
            <w:vAlign w:val="center"/>
          </w:tcPr>
          <w:p>
            <w:pPr>
              <w:pStyle w:val="69"/>
              <w:tabs>
                <w:tab w:val="center" w:pos="2268"/>
                <w:tab w:val="right" w:pos="5387"/>
                <w:tab w:val="clear" w:pos="4820"/>
                <w:tab w:val="clear" w:pos="9639"/>
              </w:tabs>
              <w:snapToGrid w:val="0"/>
              <w:spacing w:before="0" w:after="0" w:line="400" w:lineRule="exact"/>
              <w:ind w:left="-108" w:right="-98"/>
              <w:jc w:val="center"/>
              <w:rPr>
                <w:rFonts w:ascii="宋体" w:hAnsi="宋体"/>
                <w:b w:val="0"/>
                <w:caps w:val="0"/>
                <w:color w:val="000000"/>
                <w:kern w:val="2"/>
                <w:lang w:val="en-US" w:eastAsia="zh-CN"/>
              </w:rPr>
            </w:pPr>
            <w:r>
              <w:rPr>
                <w:rFonts w:ascii="宋体" w:hAnsi="宋体"/>
                <w:b w:val="0"/>
                <w:caps w:val="0"/>
                <w:color w:val="000000"/>
                <w:kern w:val="2"/>
                <w:lang w:val="en-US" w:eastAsia="zh-CN"/>
              </w:rPr>
              <w:t>必需/期望</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35"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099</w:t>
            </w:r>
          </w:p>
        </w:tc>
        <w:tc>
          <w:tcPr>
            <w:tcW w:w="7230" w:type="dxa"/>
            <w:vAlign w:val="center"/>
          </w:tcPr>
          <w:p>
            <w:pPr>
              <w:spacing w:line="400" w:lineRule="exact"/>
              <w:rPr>
                <w:rFonts w:ascii="宋体" w:hAnsi="宋体"/>
                <w:color w:val="000000"/>
              </w:rPr>
            </w:pPr>
            <w:r>
              <w:rPr>
                <w:rFonts w:hint="eastAsia" w:ascii="宋体" w:hAnsi="宋体"/>
                <w:color w:val="000000"/>
              </w:rPr>
              <w:t>本规格表中基本规格内容</w:t>
            </w:r>
            <w:r>
              <w:rPr>
                <w:rFonts w:ascii="宋体" w:hAnsi="宋体"/>
                <w:color w:val="000000"/>
              </w:rPr>
              <w:t>,</w:t>
            </w:r>
            <w:r>
              <w:rPr>
                <w:rFonts w:hint="eastAsia" w:ascii="宋体" w:hAnsi="宋体"/>
                <w:color w:val="000000"/>
              </w:rPr>
              <w:t>技术数据及参考文件等各大项中所提及各项要求供应商提供资料</w:t>
            </w:r>
            <w:r>
              <w:rPr>
                <w:rFonts w:ascii="宋体" w:hAnsi="宋体"/>
                <w:color w:val="000000"/>
              </w:rPr>
              <w:t>,</w:t>
            </w:r>
            <w:r>
              <w:rPr>
                <w:rFonts w:hint="eastAsia" w:ascii="宋体" w:hAnsi="宋体"/>
                <w:color w:val="000000"/>
              </w:rPr>
              <w:t>若有任何问题应于契约订定前先知会我方</w:t>
            </w:r>
            <w:r>
              <w:rPr>
                <w:rFonts w:ascii="宋体" w:hAnsi="宋体"/>
                <w:color w:val="000000"/>
              </w:rPr>
              <w:t>,</w:t>
            </w:r>
            <w:r>
              <w:rPr>
                <w:rFonts w:hint="eastAsia" w:ascii="宋体" w:hAnsi="宋体"/>
                <w:color w:val="000000"/>
              </w:rPr>
              <w:t>在合约上说明，否则各项均列入设备到货验收时之依据。</w:t>
            </w:r>
          </w:p>
        </w:tc>
        <w:tc>
          <w:tcPr>
            <w:tcW w:w="1425"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35"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100</w:t>
            </w:r>
          </w:p>
        </w:tc>
        <w:tc>
          <w:tcPr>
            <w:tcW w:w="7230" w:type="dxa"/>
            <w:vAlign w:val="center"/>
          </w:tcPr>
          <w:p>
            <w:pPr>
              <w:spacing w:line="400" w:lineRule="exact"/>
              <w:rPr>
                <w:rFonts w:ascii="宋体" w:hAnsi="宋体"/>
                <w:color w:val="000000"/>
              </w:rPr>
            </w:pPr>
            <w:r>
              <w:rPr>
                <w:rFonts w:hint="eastAsia" w:ascii="宋体" w:hAnsi="宋体"/>
                <w:color w:val="000000"/>
              </w:rPr>
              <w:t>供应商在报价中需要将所有需要提供的辅助设施（如真空、电、压缩空气、安装空间等）列举清楚，若有列举不明之项目，发生费用则全部由供应商自己承担。</w:t>
            </w:r>
          </w:p>
        </w:tc>
        <w:tc>
          <w:tcPr>
            <w:tcW w:w="1425" w:type="dxa"/>
            <w:vAlign w:val="center"/>
          </w:tcPr>
          <w:p>
            <w:pPr>
              <w:spacing w:line="400" w:lineRule="exact"/>
              <w:jc w:val="center"/>
              <w:rPr>
                <w:rFonts w:ascii="宋体" w:hAnsi="宋体"/>
                <w:color w:val="000000"/>
              </w:rPr>
            </w:pPr>
            <w:r>
              <w:rPr>
                <w:rFonts w:ascii="宋体" w:hAnsi="宋体"/>
                <w:color w:val="000000"/>
              </w:rPr>
              <w:t>必需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335" w:type="dxa"/>
            <w:vAlign w:val="center"/>
          </w:tcPr>
          <w:p>
            <w:pPr>
              <w:pStyle w:val="69"/>
              <w:tabs>
                <w:tab w:val="center" w:pos="2268"/>
                <w:tab w:val="right" w:pos="5387"/>
                <w:tab w:val="clear" w:pos="4820"/>
                <w:tab w:val="clear" w:pos="9639"/>
              </w:tabs>
              <w:spacing w:before="0" w:after="0" w:line="400" w:lineRule="exact"/>
              <w:jc w:val="center"/>
              <w:rPr>
                <w:rFonts w:ascii="宋体" w:hAnsi="宋体"/>
                <w:b w:val="0"/>
                <w:caps w:val="0"/>
                <w:color w:val="000000"/>
                <w:kern w:val="2"/>
                <w:lang w:val="en-US" w:eastAsia="zh-CN"/>
              </w:rPr>
            </w:pPr>
            <w:r>
              <w:rPr>
                <w:rFonts w:ascii="宋体" w:hAnsi="宋体"/>
                <w:b w:val="0"/>
                <w:caps w:val="0"/>
                <w:color w:val="000000"/>
                <w:kern w:val="2"/>
                <w:lang w:val="en-US" w:eastAsia="zh-CN"/>
              </w:rPr>
              <w:t>URS</w:t>
            </w:r>
            <w:r>
              <w:rPr>
                <w:rFonts w:hint="eastAsia" w:ascii="宋体" w:hAnsi="宋体"/>
                <w:b w:val="0"/>
                <w:caps w:val="0"/>
                <w:color w:val="000000"/>
                <w:kern w:val="2"/>
                <w:lang w:val="en-US" w:eastAsia="zh-CN"/>
              </w:rPr>
              <w:t>101</w:t>
            </w:r>
          </w:p>
        </w:tc>
        <w:tc>
          <w:tcPr>
            <w:tcW w:w="7230" w:type="dxa"/>
            <w:vAlign w:val="center"/>
          </w:tcPr>
          <w:p>
            <w:pPr>
              <w:rPr>
                <w:rFonts w:ascii="宋体" w:hAnsi="宋体"/>
                <w:color w:val="000000"/>
              </w:rPr>
            </w:pPr>
            <w:r>
              <w:rPr>
                <w:rFonts w:hint="eastAsia" w:ascii="宋体" w:hAnsi="宋体"/>
                <w:color w:val="000000"/>
              </w:rPr>
              <w:t>本</w:t>
            </w:r>
            <w:r>
              <w:rPr>
                <w:rFonts w:ascii="宋体" w:hAnsi="宋体"/>
                <w:color w:val="000000"/>
              </w:rPr>
              <w:t>URS</w:t>
            </w:r>
            <w:r>
              <w:rPr>
                <w:rFonts w:hint="eastAsia" w:ascii="宋体" w:hAnsi="宋体"/>
                <w:color w:val="000000"/>
              </w:rPr>
              <w:t>作为合同的补充条款，作为到货验收的依据。</w:t>
            </w:r>
          </w:p>
        </w:tc>
        <w:tc>
          <w:tcPr>
            <w:tcW w:w="1425" w:type="dxa"/>
            <w:vAlign w:val="center"/>
          </w:tcPr>
          <w:p>
            <w:pPr>
              <w:spacing w:line="400" w:lineRule="exact"/>
              <w:jc w:val="center"/>
              <w:rPr>
                <w:rFonts w:ascii="宋体" w:hAnsi="宋体"/>
                <w:color w:val="000000"/>
              </w:rPr>
            </w:pPr>
            <w:r>
              <w:rPr>
                <w:rFonts w:ascii="宋体" w:hAnsi="宋体"/>
                <w:color w:val="000000"/>
              </w:rPr>
              <w:t>必需</w:t>
            </w:r>
          </w:p>
        </w:tc>
      </w:tr>
      <w:bookmarkEnd w:id="72"/>
      <w:bookmarkEnd w:id="73"/>
    </w:tbl>
    <w:p>
      <w:pPr>
        <w:pStyle w:val="2"/>
        <w:rPr>
          <w:rFonts w:ascii="宋体" w:hAnsi="宋体" w:cs="Arial"/>
        </w:rPr>
      </w:pPr>
      <w:bookmarkStart w:id="110" w:name="_Toc23165156"/>
      <w:bookmarkStart w:id="111" w:name="_Toc22410_WPSOffice_Level1"/>
      <w:bookmarkStart w:id="112" w:name="_Toc18596_WPSOffice_Level1"/>
      <w:r>
        <w:rPr>
          <w:rFonts w:hint="eastAsia" w:ascii="宋体" w:hAnsi="宋体" w:cs="Arial"/>
        </w:rPr>
        <w:t>术语表</w:t>
      </w:r>
      <w:bookmarkEnd w:id="110"/>
      <w:bookmarkEnd w:id="111"/>
      <w:bookmarkEnd w:id="112"/>
      <w:r>
        <w:rPr>
          <w:rFonts w:ascii="宋体" w:hAnsi="宋体" w:cs="Arial"/>
        </w:rPr>
        <w:t xml:space="preserve">  </w:t>
      </w:r>
    </w:p>
    <w:tbl>
      <w:tblPr>
        <w:tblStyle w:val="24"/>
        <w:tblW w:w="955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59"/>
        <w:gridCol w:w="809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7" w:hRule="exact"/>
          <w:tblHeader/>
          <w:jc w:val="center"/>
        </w:trPr>
        <w:tc>
          <w:tcPr>
            <w:tcW w:w="1459" w:type="dxa"/>
            <w:vAlign w:val="center"/>
          </w:tcPr>
          <w:p>
            <w:pPr>
              <w:jc w:val="center"/>
              <w:rPr>
                <w:rFonts w:ascii="宋体" w:hAnsi="宋体"/>
                <w:szCs w:val="21"/>
              </w:rPr>
            </w:pPr>
            <w:bookmarkStart w:id="113" w:name="_Toc391024697"/>
            <w:bookmarkEnd w:id="113"/>
            <w:bookmarkStart w:id="114" w:name="_Toc434475919"/>
            <w:r>
              <w:rPr>
                <w:rFonts w:ascii="宋体" w:hAnsi="宋体"/>
                <w:szCs w:val="21"/>
              </w:rPr>
              <w:t>缩写</w:t>
            </w:r>
          </w:p>
        </w:tc>
        <w:tc>
          <w:tcPr>
            <w:tcW w:w="8093" w:type="dxa"/>
            <w:vAlign w:val="center"/>
          </w:tcPr>
          <w:p>
            <w:pPr>
              <w:jc w:val="center"/>
              <w:rPr>
                <w:rFonts w:ascii="宋体" w:hAnsi="宋体"/>
                <w:szCs w:val="21"/>
              </w:rPr>
            </w:pPr>
            <w:r>
              <w:rPr>
                <w:rFonts w:ascii="宋体" w:hAnsi="宋体"/>
                <w:szCs w:val="21"/>
              </w:rPr>
              <w:t>解释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6" w:hRule="exact"/>
          <w:jc w:val="center"/>
        </w:trPr>
        <w:tc>
          <w:tcPr>
            <w:tcW w:w="1459" w:type="dxa"/>
            <w:vAlign w:val="center"/>
          </w:tcPr>
          <w:p>
            <w:pPr>
              <w:autoSpaceDE w:val="0"/>
              <w:autoSpaceDN w:val="0"/>
              <w:adjustRightInd w:val="0"/>
              <w:jc w:val="center"/>
              <w:rPr>
                <w:rFonts w:ascii="宋体" w:hAnsi="宋体"/>
                <w:szCs w:val="21"/>
              </w:rPr>
            </w:pPr>
            <w:r>
              <w:rPr>
                <w:rFonts w:ascii="宋体" w:hAnsi="宋体"/>
                <w:kern w:val="0"/>
                <w:szCs w:val="21"/>
              </w:rPr>
              <w:t>URS</w:t>
            </w:r>
          </w:p>
        </w:tc>
        <w:tc>
          <w:tcPr>
            <w:tcW w:w="8093" w:type="dxa"/>
            <w:vAlign w:val="center"/>
          </w:tcPr>
          <w:p>
            <w:pPr>
              <w:autoSpaceDE w:val="0"/>
              <w:autoSpaceDN w:val="0"/>
              <w:adjustRightInd w:val="0"/>
              <w:jc w:val="left"/>
              <w:rPr>
                <w:rFonts w:ascii="宋体" w:hAnsi="宋体"/>
                <w:szCs w:val="21"/>
              </w:rPr>
            </w:pPr>
            <w:r>
              <w:rPr>
                <w:rFonts w:ascii="宋体" w:hAnsi="宋体"/>
                <w:kern w:val="0"/>
                <w:szCs w:val="21"/>
              </w:rPr>
              <w:t>User Requirements Specifications</w:t>
            </w:r>
            <w:r>
              <w:rPr>
                <w:rFonts w:ascii="宋体" w:hAnsi="宋体"/>
                <w:szCs w:val="21"/>
              </w:rPr>
              <w:t>/用户需求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4" w:hRule="exact"/>
          <w:jc w:val="center"/>
        </w:trPr>
        <w:tc>
          <w:tcPr>
            <w:tcW w:w="1459" w:type="dxa"/>
            <w:vAlign w:val="center"/>
          </w:tcPr>
          <w:p>
            <w:pPr>
              <w:autoSpaceDE w:val="0"/>
              <w:autoSpaceDN w:val="0"/>
              <w:adjustRightInd w:val="0"/>
              <w:jc w:val="center"/>
              <w:rPr>
                <w:rFonts w:ascii="宋体" w:hAnsi="宋体"/>
                <w:szCs w:val="21"/>
              </w:rPr>
            </w:pPr>
            <w:r>
              <w:rPr>
                <w:rFonts w:ascii="宋体" w:hAnsi="宋体"/>
                <w:kern w:val="0"/>
                <w:szCs w:val="21"/>
              </w:rPr>
              <w:t>EHS</w:t>
            </w:r>
            <w:r>
              <w:rPr>
                <w:rFonts w:hint="eastAsia" w:ascii="宋体" w:hAnsi="宋体"/>
                <w:kern w:val="0"/>
                <w:szCs w:val="21"/>
              </w:rPr>
              <w:t>Q</w:t>
            </w:r>
          </w:p>
        </w:tc>
        <w:tc>
          <w:tcPr>
            <w:tcW w:w="8093" w:type="dxa"/>
            <w:vAlign w:val="center"/>
          </w:tcPr>
          <w:p>
            <w:pPr>
              <w:autoSpaceDE w:val="0"/>
              <w:autoSpaceDN w:val="0"/>
              <w:adjustRightInd w:val="0"/>
              <w:jc w:val="left"/>
              <w:rPr>
                <w:rFonts w:ascii="宋体" w:hAnsi="宋体"/>
                <w:szCs w:val="21"/>
              </w:rPr>
            </w:pPr>
            <w:r>
              <w:rPr>
                <w:rFonts w:ascii="宋体" w:hAnsi="宋体"/>
                <w:kern w:val="0"/>
                <w:szCs w:val="21"/>
              </w:rPr>
              <w:t>Environment, Health &amp; Safety</w:t>
            </w:r>
            <w:r>
              <w:rPr>
                <w:rFonts w:ascii="宋体" w:hAnsi="宋体"/>
                <w:szCs w:val="21"/>
              </w:rPr>
              <w:t>/环境、健康与安全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85" w:hRule="exact"/>
          <w:jc w:val="center"/>
        </w:trPr>
        <w:tc>
          <w:tcPr>
            <w:tcW w:w="1459" w:type="dxa"/>
            <w:shd w:val="clear" w:color="auto" w:fill="FFFFFF"/>
            <w:vAlign w:val="center"/>
          </w:tcPr>
          <w:p>
            <w:pPr>
              <w:autoSpaceDE w:val="0"/>
              <w:autoSpaceDN w:val="0"/>
              <w:adjustRightInd w:val="0"/>
              <w:jc w:val="center"/>
              <w:rPr>
                <w:rFonts w:ascii="宋体" w:hAnsi="宋体"/>
                <w:szCs w:val="21"/>
              </w:rPr>
            </w:pPr>
            <w:r>
              <w:rPr>
                <w:rFonts w:ascii="宋体" w:hAnsi="宋体"/>
                <w:kern w:val="0"/>
                <w:szCs w:val="21"/>
              </w:rPr>
              <w:t>cFDA</w:t>
            </w:r>
          </w:p>
        </w:tc>
        <w:tc>
          <w:tcPr>
            <w:tcW w:w="8093" w:type="dxa"/>
            <w:shd w:val="clear" w:color="auto" w:fill="FFFFFF"/>
            <w:vAlign w:val="center"/>
          </w:tcPr>
          <w:p>
            <w:pPr>
              <w:autoSpaceDE w:val="0"/>
              <w:autoSpaceDN w:val="0"/>
              <w:adjustRightInd w:val="0"/>
              <w:jc w:val="left"/>
              <w:rPr>
                <w:rFonts w:ascii="宋体" w:hAnsi="宋体"/>
                <w:kern w:val="0"/>
                <w:szCs w:val="21"/>
              </w:rPr>
            </w:pPr>
            <w:r>
              <w:rPr>
                <w:rFonts w:ascii="宋体" w:hAnsi="宋体"/>
                <w:kern w:val="0"/>
                <w:szCs w:val="21"/>
              </w:rPr>
              <w:t>China Food and Drug Administration /</w:t>
            </w:r>
            <w:r>
              <w:rPr>
                <w:rFonts w:ascii="宋体" w:hAnsi="宋体"/>
                <w:szCs w:val="21"/>
              </w:rPr>
              <w:t>国家食品药品监督管理局</w:t>
            </w:r>
          </w:p>
          <w:p>
            <w:pPr>
              <w:autoSpaceDE w:val="0"/>
              <w:autoSpaceDN w:val="0"/>
              <w:adjustRightInd w:val="0"/>
              <w:jc w:val="left"/>
              <w:rPr>
                <w:rFonts w:ascii="宋体" w:hAnsi="宋体"/>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2" w:hRule="exact"/>
          <w:jc w:val="center"/>
        </w:trPr>
        <w:tc>
          <w:tcPr>
            <w:tcW w:w="1459" w:type="dxa"/>
            <w:vAlign w:val="center"/>
          </w:tcPr>
          <w:p>
            <w:pPr>
              <w:autoSpaceDE w:val="0"/>
              <w:autoSpaceDN w:val="0"/>
              <w:adjustRightInd w:val="0"/>
              <w:jc w:val="center"/>
              <w:rPr>
                <w:rFonts w:ascii="宋体" w:hAnsi="宋体"/>
                <w:szCs w:val="21"/>
              </w:rPr>
            </w:pPr>
            <w:r>
              <w:rPr>
                <w:rFonts w:ascii="宋体" w:hAnsi="宋体"/>
                <w:kern w:val="0"/>
                <w:szCs w:val="21"/>
              </w:rPr>
              <w:t>GMP</w:t>
            </w:r>
          </w:p>
        </w:tc>
        <w:tc>
          <w:tcPr>
            <w:tcW w:w="8093" w:type="dxa"/>
            <w:vAlign w:val="center"/>
          </w:tcPr>
          <w:p>
            <w:pPr>
              <w:autoSpaceDE w:val="0"/>
              <w:autoSpaceDN w:val="0"/>
              <w:adjustRightInd w:val="0"/>
              <w:rPr>
                <w:rFonts w:ascii="宋体" w:hAnsi="宋体"/>
                <w:szCs w:val="21"/>
              </w:rPr>
            </w:pPr>
            <w:r>
              <w:rPr>
                <w:rFonts w:ascii="宋体" w:hAnsi="宋体"/>
                <w:kern w:val="0"/>
                <w:szCs w:val="21"/>
              </w:rPr>
              <w:t>Good Manufacturing Practices</w:t>
            </w:r>
            <w:r>
              <w:rPr>
                <w:rFonts w:ascii="宋体" w:hAnsi="宋体"/>
                <w:szCs w:val="21"/>
              </w:rPr>
              <w:t>/药品生产质量管理规范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31" w:hRule="exact"/>
          <w:jc w:val="center"/>
        </w:trPr>
        <w:tc>
          <w:tcPr>
            <w:tcW w:w="1459" w:type="dxa"/>
            <w:vAlign w:val="center"/>
          </w:tcPr>
          <w:p>
            <w:pPr>
              <w:autoSpaceDE w:val="0"/>
              <w:autoSpaceDN w:val="0"/>
              <w:adjustRightInd w:val="0"/>
              <w:jc w:val="center"/>
              <w:rPr>
                <w:rFonts w:ascii="宋体" w:hAnsi="宋体"/>
                <w:szCs w:val="21"/>
              </w:rPr>
            </w:pPr>
            <w:r>
              <w:rPr>
                <w:rFonts w:ascii="宋体" w:hAnsi="宋体"/>
                <w:kern w:val="0"/>
                <w:szCs w:val="21"/>
              </w:rPr>
              <w:t>GAMP</w:t>
            </w:r>
          </w:p>
        </w:tc>
        <w:tc>
          <w:tcPr>
            <w:tcW w:w="8093" w:type="dxa"/>
            <w:vAlign w:val="center"/>
          </w:tcPr>
          <w:p>
            <w:pPr>
              <w:autoSpaceDE w:val="0"/>
              <w:autoSpaceDN w:val="0"/>
              <w:adjustRightInd w:val="0"/>
              <w:rPr>
                <w:rFonts w:ascii="宋体" w:hAnsi="宋体"/>
                <w:szCs w:val="21"/>
              </w:rPr>
            </w:pPr>
            <w:r>
              <w:rPr>
                <w:rFonts w:ascii="宋体" w:hAnsi="宋体"/>
                <w:kern w:val="0"/>
                <w:szCs w:val="21"/>
              </w:rPr>
              <w:t>Good Automation Manufacturing Practices</w:t>
            </w:r>
            <w:r>
              <w:rPr>
                <w:rFonts w:ascii="宋体" w:hAnsi="宋体"/>
                <w:szCs w:val="21"/>
              </w:rPr>
              <w:t>/良好的自动化制造规范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6" w:hRule="exact"/>
          <w:jc w:val="center"/>
        </w:trPr>
        <w:tc>
          <w:tcPr>
            <w:tcW w:w="1459" w:type="dxa"/>
            <w:vAlign w:val="center"/>
          </w:tcPr>
          <w:p>
            <w:pPr>
              <w:autoSpaceDE w:val="0"/>
              <w:autoSpaceDN w:val="0"/>
              <w:adjustRightInd w:val="0"/>
              <w:jc w:val="center"/>
              <w:rPr>
                <w:rFonts w:ascii="宋体" w:hAnsi="宋体"/>
                <w:szCs w:val="21"/>
              </w:rPr>
            </w:pPr>
            <w:r>
              <w:rPr>
                <w:rFonts w:ascii="宋体" w:hAnsi="宋体"/>
                <w:kern w:val="0"/>
                <w:szCs w:val="21"/>
              </w:rPr>
              <w:t>cGMP</w:t>
            </w:r>
          </w:p>
        </w:tc>
        <w:tc>
          <w:tcPr>
            <w:tcW w:w="8093" w:type="dxa"/>
            <w:vAlign w:val="center"/>
          </w:tcPr>
          <w:p>
            <w:pPr>
              <w:autoSpaceDE w:val="0"/>
              <w:autoSpaceDN w:val="0"/>
              <w:adjustRightInd w:val="0"/>
              <w:jc w:val="left"/>
              <w:rPr>
                <w:rFonts w:ascii="宋体" w:hAnsi="宋体"/>
                <w:szCs w:val="21"/>
              </w:rPr>
            </w:pPr>
            <w:r>
              <w:rPr>
                <w:rFonts w:ascii="宋体" w:hAnsi="宋体"/>
                <w:kern w:val="0"/>
                <w:szCs w:val="21"/>
              </w:rPr>
              <w:t>Current Good Manufacturing Practices</w:t>
            </w:r>
            <w:r>
              <w:rPr>
                <w:rFonts w:ascii="宋体" w:hAnsi="宋体"/>
                <w:szCs w:val="21"/>
              </w:rPr>
              <w:t>/动态药品生产管理规范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2" w:hRule="exact"/>
          <w:jc w:val="center"/>
        </w:trPr>
        <w:tc>
          <w:tcPr>
            <w:tcW w:w="1459" w:type="dxa"/>
            <w:vAlign w:val="center"/>
          </w:tcPr>
          <w:p>
            <w:pPr>
              <w:autoSpaceDE w:val="0"/>
              <w:autoSpaceDN w:val="0"/>
              <w:adjustRightInd w:val="0"/>
              <w:jc w:val="center"/>
              <w:rPr>
                <w:rFonts w:ascii="宋体" w:hAnsi="宋体"/>
                <w:szCs w:val="21"/>
              </w:rPr>
            </w:pPr>
            <w:r>
              <w:rPr>
                <w:rFonts w:ascii="宋体" w:hAnsi="宋体"/>
                <w:kern w:val="0"/>
                <w:szCs w:val="21"/>
              </w:rPr>
              <w:t>GEP</w:t>
            </w:r>
          </w:p>
        </w:tc>
        <w:tc>
          <w:tcPr>
            <w:tcW w:w="8093" w:type="dxa"/>
            <w:vAlign w:val="center"/>
          </w:tcPr>
          <w:p>
            <w:pPr>
              <w:autoSpaceDE w:val="0"/>
              <w:autoSpaceDN w:val="0"/>
              <w:adjustRightInd w:val="0"/>
              <w:jc w:val="left"/>
              <w:rPr>
                <w:rFonts w:ascii="宋体" w:hAnsi="宋体"/>
                <w:szCs w:val="21"/>
              </w:rPr>
            </w:pPr>
            <w:r>
              <w:rPr>
                <w:rFonts w:ascii="宋体" w:hAnsi="宋体"/>
                <w:kern w:val="0"/>
                <w:szCs w:val="21"/>
              </w:rPr>
              <w:t>Good Engineering Practices</w:t>
            </w:r>
            <w:r>
              <w:rPr>
                <w:rFonts w:ascii="宋体" w:hAnsi="宋体"/>
                <w:szCs w:val="21"/>
              </w:rPr>
              <w:t>/良好的工程管理规范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7" w:hRule="exact"/>
          <w:jc w:val="center"/>
        </w:trPr>
        <w:tc>
          <w:tcPr>
            <w:tcW w:w="1459" w:type="dxa"/>
            <w:vAlign w:val="center"/>
          </w:tcPr>
          <w:p>
            <w:pPr>
              <w:autoSpaceDE w:val="0"/>
              <w:autoSpaceDN w:val="0"/>
              <w:adjustRightInd w:val="0"/>
              <w:jc w:val="center"/>
              <w:rPr>
                <w:rFonts w:ascii="宋体" w:hAnsi="宋体"/>
                <w:szCs w:val="21"/>
              </w:rPr>
            </w:pPr>
            <w:r>
              <w:rPr>
                <w:rFonts w:ascii="宋体" w:hAnsi="宋体"/>
                <w:kern w:val="0"/>
                <w:szCs w:val="21"/>
              </w:rPr>
              <w:t>GDP</w:t>
            </w:r>
          </w:p>
        </w:tc>
        <w:tc>
          <w:tcPr>
            <w:tcW w:w="8093" w:type="dxa"/>
            <w:vAlign w:val="center"/>
          </w:tcPr>
          <w:p>
            <w:pPr>
              <w:autoSpaceDE w:val="0"/>
              <w:autoSpaceDN w:val="0"/>
              <w:adjustRightInd w:val="0"/>
              <w:jc w:val="left"/>
              <w:rPr>
                <w:rFonts w:ascii="宋体" w:hAnsi="宋体"/>
                <w:szCs w:val="21"/>
              </w:rPr>
            </w:pPr>
            <w:r>
              <w:rPr>
                <w:rFonts w:ascii="宋体" w:hAnsi="宋体"/>
                <w:kern w:val="0"/>
                <w:szCs w:val="21"/>
              </w:rPr>
              <w:t>Good Documentation Practices</w:t>
            </w:r>
            <w:r>
              <w:rPr>
                <w:rFonts w:ascii="宋体" w:hAnsi="宋体"/>
                <w:szCs w:val="21"/>
              </w:rPr>
              <w:t>/良好的文件管理规范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7" w:hRule="exact"/>
          <w:jc w:val="center"/>
        </w:trPr>
        <w:tc>
          <w:tcPr>
            <w:tcW w:w="1459" w:type="dxa"/>
            <w:vAlign w:val="center"/>
          </w:tcPr>
          <w:p>
            <w:pPr>
              <w:autoSpaceDE w:val="0"/>
              <w:autoSpaceDN w:val="0"/>
              <w:adjustRightInd w:val="0"/>
              <w:jc w:val="center"/>
              <w:rPr>
                <w:rFonts w:ascii="宋体" w:hAnsi="宋体"/>
                <w:kern w:val="0"/>
                <w:szCs w:val="21"/>
              </w:rPr>
            </w:pPr>
            <w:r>
              <w:rPr>
                <w:rFonts w:hint="eastAsia" w:ascii="宋体" w:hAnsi="宋体"/>
                <w:kern w:val="0"/>
                <w:szCs w:val="21"/>
              </w:rPr>
              <w:t>H</w:t>
            </w:r>
            <w:r>
              <w:rPr>
                <w:rFonts w:ascii="宋体" w:hAnsi="宋体"/>
                <w:kern w:val="0"/>
                <w:szCs w:val="21"/>
              </w:rPr>
              <w:t>MI</w:t>
            </w:r>
          </w:p>
        </w:tc>
        <w:tc>
          <w:tcPr>
            <w:tcW w:w="8093" w:type="dxa"/>
            <w:vAlign w:val="center"/>
          </w:tcPr>
          <w:p>
            <w:pPr>
              <w:autoSpaceDE w:val="0"/>
              <w:autoSpaceDN w:val="0"/>
              <w:adjustRightInd w:val="0"/>
              <w:jc w:val="left"/>
              <w:rPr>
                <w:rFonts w:ascii="宋体" w:hAnsi="宋体"/>
                <w:kern w:val="0"/>
                <w:szCs w:val="21"/>
              </w:rPr>
            </w:pPr>
            <w:r>
              <w:rPr>
                <w:rFonts w:ascii="宋体" w:hAnsi="宋体"/>
                <w:kern w:val="0"/>
                <w:szCs w:val="21"/>
              </w:rPr>
              <w:t>Human Machine Interface</w:t>
            </w:r>
            <w:r>
              <w:rPr>
                <w:rFonts w:hint="eastAsia" w:ascii="宋体" w:hAnsi="宋体"/>
                <w:kern w:val="0"/>
                <w:szCs w:val="21"/>
              </w:rPr>
              <w:t>/人机界面</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2" w:hRule="exact"/>
          <w:jc w:val="center"/>
        </w:trPr>
        <w:tc>
          <w:tcPr>
            <w:tcW w:w="1459" w:type="dxa"/>
            <w:vAlign w:val="center"/>
          </w:tcPr>
          <w:p>
            <w:pPr>
              <w:autoSpaceDE w:val="0"/>
              <w:autoSpaceDN w:val="0"/>
              <w:adjustRightInd w:val="0"/>
              <w:jc w:val="center"/>
              <w:rPr>
                <w:rFonts w:ascii="宋体" w:hAnsi="宋体"/>
                <w:szCs w:val="21"/>
              </w:rPr>
            </w:pPr>
            <w:r>
              <w:rPr>
                <w:rFonts w:ascii="宋体" w:hAnsi="宋体"/>
                <w:kern w:val="0"/>
                <w:szCs w:val="21"/>
              </w:rPr>
              <w:t>P&amp;ID</w:t>
            </w:r>
          </w:p>
        </w:tc>
        <w:tc>
          <w:tcPr>
            <w:tcW w:w="8093" w:type="dxa"/>
            <w:vAlign w:val="center"/>
          </w:tcPr>
          <w:p>
            <w:pPr>
              <w:autoSpaceDE w:val="0"/>
              <w:autoSpaceDN w:val="0"/>
              <w:adjustRightInd w:val="0"/>
              <w:jc w:val="left"/>
              <w:rPr>
                <w:rFonts w:ascii="宋体" w:hAnsi="宋体"/>
                <w:szCs w:val="21"/>
              </w:rPr>
            </w:pPr>
            <w:r>
              <w:rPr>
                <w:rFonts w:ascii="宋体" w:hAnsi="宋体"/>
                <w:kern w:val="0"/>
                <w:szCs w:val="21"/>
              </w:rPr>
              <w:t>Piping &amp; Instrument Diagram</w:t>
            </w:r>
            <w:r>
              <w:rPr>
                <w:rFonts w:ascii="宋体" w:hAnsi="宋体"/>
                <w:szCs w:val="21"/>
              </w:rPr>
              <w:t>/管路和仪表流程图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32" w:hRule="exact"/>
          <w:jc w:val="center"/>
        </w:trPr>
        <w:tc>
          <w:tcPr>
            <w:tcW w:w="1459" w:type="dxa"/>
            <w:vAlign w:val="center"/>
          </w:tcPr>
          <w:p>
            <w:pPr>
              <w:autoSpaceDE w:val="0"/>
              <w:autoSpaceDN w:val="0"/>
              <w:adjustRightInd w:val="0"/>
              <w:jc w:val="center"/>
              <w:rPr>
                <w:rFonts w:ascii="宋体" w:hAnsi="宋体"/>
                <w:szCs w:val="21"/>
              </w:rPr>
            </w:pPr>
            <w:r>
              <w:rPr>
                <w:rFonts w:ascii="宋体" w:hAnsi="宋体"/>
                <w:kern w:val="0"/>
                <w:szCs w:val="21"/>
              </w:rPr>
              <w:t>PLC</w:t>
            </w:r>
          </w:p>
        </w:tc>
        <w:tc>
          <w:tcPr>
            <w:tcW w:w="8093" w:type="dxa"/>
            <w:vAlign w:val="center"/>
          </w:tcPr>
          <w:p>
            <w:pPr>
              <w:autoSpaceDE w:val="0"/>
              <w:autoSpaceDN w:val="0"/>
              <w:adjustRightInd w:val="0"/>
              <w:jc w:val="left"/>
              <w:rPr>
                <w:rFonts w:ascii="宋体" w:hAnsi="宋体"/>
                <w:szCs w:val="21"/>
              </w:rPr>
            </w:pPr>
            <w:r>
              <w:rPr>
                <w:rFonts w:ascii="宋体" w:hAnsi="宋体"/>
                <w:kern w:val="0"/>
                <w:szCs w:val="21"/>
              </w:rPr>
              <w:t>Programmable Logic Controller</w:t>
            </w:r>
            <w:r>
              <w:rPr>
                <w:rFonts w:ascii="宋体" w:hAnsi="宋体"/>
                <w:szCs w:val="21"/>
              </w:rPr>
              <w:t>/可编程控制器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6" w:hRule="exact"/>
          <w:jc w:val="center"/>
        </w:trPr>
        <w:tc>
          <w:tcPr>
            <w:tcW w:w="1459" w:type="dxa"/>
            <w:vAlign w:val="center"/>
          </w:tcPr>
          <w:p>
            <w:pPr>
              <w:autoSpaceDE w:val="0"/>
              <w:autoSpaceDN w:val="0"/>
              <w:adjustRightInd w:val="0"/>
              <w:jc w:val="center"/>
              <w:rPr>
                <w:rFonts w:ascii="宋体" w:hAnsi="宋体"/>
                <w:szCs w:val="21"/>
              </w:rPr>
            </w:pPr>
            <w:r>
              <w:rPr>
                <w:rFonts w:ascii="宋体" w:hAnsi="宋体"/>
                <w:kern w:val="0"/>
                <w:szCs w:val="21"/>
              </w:rPr>
              <w:t>FAT</w:t>
            </w:r>
          </w:p>
        </w:tc>
        <w:tc>
          <w:tcPr>
            <w:tcW w:w="8093" w:type="dxa"/>
            <w:tcBorders>
              <w:right w:val="single" w:color="auto" w:sz="4" w:space="0"/>
            </w:tcBorders>
            <w:vAlign w:val="center"/>
          </w:tcPr>
          <w:p>
            <w:pPr>
              <w:autoSpaceDE w:val="0"/>
              <w:autoSpaceDN w:val="0"/>
              <w:adjustRightInd w:val="0"/>
              <w:jc w:val="left"/>
              <w:rPr>
                <w:rFonts w:ascii="宋体" w:hAnsi="宋体"/>
                <w:szCs w:val="21"/>
              </w:rPr>
            </w:pPr>
            <w:r>
              <w:rPr>
                <w:rFonts w:ascii="宋体" w:hAnsi="宋体"/>
                <w:kern w:val="0"/>
                <w:szCs w:val="21"/>
              </w:rPr>
              <w:t>Factory acceptance testing</w:t>
            </w:r>
            <w:r>
              <w:rPr>
                <w:rFonts w:ascii="宋体" w:hAnsi="宋体"/>
                <w:szCs w:val="21"/>
              </w:rPr>
              <w:t>/工厂验收测试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8" w:hRule="exact"/>
          <w:jc w:val="center"/>
        </w:trPr>
        <w:tc>
          <w:tcPr>
            <w:tcW w:w="1459" w:type="dxa"/>
            <w:tcBorders>
              <w:left w:val="single" w:color="auto" w:sz="4" w:space="0"/>
            </w:tcBorders>
            <w:vAlign w:val="center"/>
          </w:tcPr>
          <w:p>
            <w:pPr>
              <w:autoSpaceDE w:val="0"/>
              <w:autoSpaceDN w:val="0"/>
              <w:adjustRightInd w:val="0"/>
              <w:jc w:val="center"/>
              <w:rPr>
                <w:rFonts w:ascii="宋体" w:hAnsi="宋体"/>
                <w:szCs w:val="21"/>
              </w:rPr>
            </w:pPr>
            <w:r>
              <w:rPr>
                <w:rFonts w:ascii="宋体" w:hAnsi="宋体"/>
                <w:kern w:val="0"/>
                <w:szCs w:val="21"/>
              </w:rPr>
              <w:t>SAT</w:t>
            </w:r>
          </w:p>
        </w:tc>
        <w:tc>
          <w:tcPr>
            <w:tcW w:w="8093" w:type="dxa"/>
            <w:tcBorders>
              <w:right w:val="single" w:color="auto" w:sz="4" w:space="0"/>
            </w:tcBorders>
            <w:vAlign w:val="center"/>
          </w:tcPr>
          <w:p>
            <w:pPr>
              <w:autoSpaceDE w:val="0"/>
              <w:autoSpaceDN w:val="0"/>
              <w:adjustRightInd w:val="0"/>
              <w:jc w:val="left"/>
              <w:rPr>
                <w:rFonts w:ascii="宋体" w:hAnsi="宋体"/>
                <w:szCs w:val="21"/>
              </w:rPr>
            </w:pPr>
            <w:r>
              <w:rPr>
                <w:rFonts w:ascii="宋体" w:hAnsi="宋体"/>
                <w:kern w:val="0"/>
                <w:szCs w:val="21"/>
              </w:rPr>
              <w:t>Site acceptance testing</w:t>
            </w:r>
            <w:r>
              <w:rPr>
                <w:rFonts w:ascii="宋体" w:hAnsi="宋体"/>
                <w:szCs w:val="21"/>
              </w:rPr>
              <w:t>/现场验收测试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38" w:hRule="exact"/>
          <w:jc w:val="center"/>
        </w:trPr>
        <w:tc>
          <w:tcPr>
            <w:tcW w:w="1459" w:type="dxa"/>
            <w:tcBorders>
              <w:left w:val="single" w:color="auto" w:sz="4" w:space="0"/>
              <w:bottom w:val="single" w:color="auto" w:sz="4" w:space="0"/>
            </w:tcBorders>
            <w:vAlign w:val="center"/>
          </w:tcPr>
          <w:p>
            <w:pPr>
              <w:autoSpaceDE w:val="0"/>
              <w:autoSpaceDN w:val="0"/>
              <w:adjustRightInd w:val="0"/>
              <w:jc w:val="center"/>
              <w:rPr>
                <w:rFonts w:ascii="宋体" w:hAnsi="宋体"/>
                <w:szCs w:val="21"/>
              </w:rPr>
            </w:pPr>
            <w:r>
              <w:rPr>
                <w:rFonts w:ascii="宋体" w:hAnsi="宋体"/>
                <w:kern w:val="0"/>
                <w:szCs w:val="21"/>
              </w:rPr>
              <w:t>SOP</w:t>
            </w:r>
          </w:p>
        </w:tc>
        <w:tc>
          <w:tcPr>
            <w:tcW w:w="8093" w:type="dxa"/>
            <w:tcBorders>
              <w:bottom w:val="single" w:color="auto" w:sz="4" w:space="0"/>
              <w:right w:val="single" w:color="auto" w:sz="4" w:space="0"/>
            </w:tcBorders>
            <w:vAlign w:val="center"/>
          </w:tcPr>
          <w:p>
            <w:pPr>
              <w:autoSpaceDE w:val="0"/>
              <w:autoSpaceDN w:val="0"/>
              <w:adjustRightInd w:val="0"/>
              <w:jc w:val="left"/>
              <w:rPr>
                <w:rFonts w:ascii="宋体" w:hAnsi="宋体"/>
                <w:szCs w:val="21"/>
              </w:rPr>
            </w:pPr>
            <w:r>
              <w:rPr>
                <w:rFonts w:ascii="宋体" w:hAnsi="宋体"/>
                <w:kern w:val="0"/>
                <w:szCs w:val="21"/>
              </w:rPr>
              <w:t xml:space="preserve">Standard operation Procedure </w:t>
            </w:r>
            <w:r>
              <w:rPr>
                <w:rFonts w:ascii="宋体" w:hAnsi="宋体"/>
                <w:szCs w:val="21"/>
              </w:rPr>
              <w:t>/标准操作规程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5" w:hRule="exact"/>
          <w:jc w:val="center"/>
        </w:trPr>
        <w:tc>
          <w:tcPr>
            <w:tcW w:w="145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szCs w:val="21"/>
              </w:rPr>
            </w:pPr>
            <w:r>
              <w:rPr>
                <w:rFonts w:ascii="宋体" w:hAnsi="宋体"/>
                <w:kern w:val="0"/>
                <w:szCs w:val="21"/>
              </w:rPr>
              <w:t>FDS</w:t>
            </w:r>
          </w:p>
        </w:tc>
        <w:tc>
          <w:tcPr>
            <w:tcW w:w="80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宋体" w:hAnsi="宋体"/>
                <w:szCs w:val="21"/>
              </w:rPr>
            </w:pPr>
            <w:r>
              <w:rPr>
                <w:rFonts w:ascii="宋体" w:hAnsi="宋体"/>
                <w:kern w:val="0"/>
                <w:szCs w:val="21"/>
              </w:rPr>
              <w:t>Function Design Specification</w:t>
            </w:r>
            <w:r>
              <w:rPr>
                <w:rFonts w:ascii="宋体" w:hAnsi="宋体"/>
                <w:szCs w:val="21"/>
              </w:rPr>
              <w:t>/功能设计说明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5" w:hRule="exact"/>
          <w:jc w:val="center"/>
        </w:trPr>
        <w:tc>
          <w:tcPr>
            <w:tcW w:w="1459"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Cs w:val="21"/>
              </w:rPr>
            </w:pPr>
            <w:r>
              <w:rPr>
                <w:rFonts w:ascii="宋体" w:hAnsi="宋体"/>
                <w:kern w:val="0"/>
                <w:szCs w:val="21"/>
              </w:rPr>
              <w:t>DQ</w:t>
            </w:r>
          </w:p>
        </w:tc>
        <w:tc>
          <w:tcPr>
            <w:tcW w:w="8093" w:type="dxa"/>
            <w:tcBorders>
              <w:top w:val="single" w:color="auto" w:sz="4" w:space="0"/>
              <w:left w:val="single" w:color="auto" w:sz="4" w:space="0"/>
              <w:bottom w:val="single" w:color="auto" w:sz="4" w:space="0"/>
              <w:right w:val="single" w:color="auto" w:sz="4" w:space="0"/>
            </w:tcBorders>
          </w:tcPr>
          <w:p>
            <w:pPr>
              <w:rPr>
                <w:rFonts w:ascii="宋体" w:hAnsi="宋体"/>
                <w:kern w:val="0"/>
                <w:szCs w:val="21"/>
              </w:rPr>
            </w:pPr>
            <w:r>
              <w:rPr>
                <w:rFonts w:ascii="宋体" w:hAnsi="宋体"/>
                <w:kern w:val="0"/>
                <w:szCs w:val="21"/>
              </w:rPr>
              <w:t>Design Qualification设计确认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5" w:hRule="exact"/>
          <w:jc w:val="center"/>
        </w:trPr>
        <w:tc>
          <w:tcPr>
            <w:tcW w:w="1459"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Cs w:val="21"/>
              </w:rPr>
            </w:pPr>
            <w:r>
              <w:rPr>
                <w:rFonts w:ascii="宋体" w:hAnsi="宋体"/>
                <w:kern w:val="0"/>
                <w:szCs w:val="21"/>
              </w:rPr>
              <w:t>IQ</w:t>
            </w:r>
          </w:p>
        </w:tc>
        <w:tc>
          <w:tcPr>
            <w:tcW w:w="8093" w:type="dxa"/>
            <w:tcBorders>
              <w:top w:val="single" w:color="auto" w:sz="4" w:space="0"/>
              <w:left w:val="single" w:color="auto" w:sz="4" w:space="0"/>
              <w:bottom w:val="single" w:color="auto" w:sz="4" w:space="0"/>
              <w:right w:val="single" w:color="auto" w:sz="4" w:space="0"/>
            </w:tcBorders>
          </w:tcPr>
          <w:p>
            <w:pPr>
              <w:rPr>
                <w:rFonts w:ascii="宋体" w:hAnsi="宋体"/>
                <w:kern w:val="0"/>
                <w:szCs w:val="21"/>
              </w:rPr>
            </w:pPr>
            <w:r>
              <w:rPr>
                <w:rFonts w:ascii="宋体" w:hAnsi="宋体"/>
                <w:kern w:val="0"/>
                <w:szCs w:val="21"/>
              </w:rPr>
              <w:t>Installation Qualification安装确认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5" w:hRule="exact"/>
          <w:jc w:val="center"/>
        </w:trPr>
        <w:tc>
          <w:tcPr>
            <w:tcW w:w="1459"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Cs w:val="21"/>
              </w:rPr>
            </w:pPr>
            <w:r>
              <w:rPr>
                <w:rFonts w:ascii="宋体" w:hAnsi="宋体"/>
                <w:kern w:val="0"/>
                <w:szCs w:val="21"/>
              </w:rPr>
              <w:t>OQ</w:t>
            </w:r>
          </w:p>
        </w:tc>
        <w:tc>
          <w:tcPr>
            <w:tcW w:w="8093" w:type="dxa"/>
            <w:tcBorders>
              <w:top w:val="single" w:color="auto" w:sz="4" w:space="0"/>
              <w:left w:val="single" w:color="auto" w:sz="4" w:space="0"/>
              <w:bottom w:val="single" w:color="auto" w:sz="4" w:space="0"/>
              <w:right w:val="single" w:color="auto" w:sz="4" w:space="0"/>
            </w:tcBorders>
          </w:tcPr>
          <w:p>
            <w:pPr>
              <w:rPr>
                <w:rFonts w:ascii="宋体" w:hAnsi="宋体"/>
                <w:kern w:val="0"/>
                <w:szCs w:val="21"/>
              </w:rPr>
            </w:pPr>
            <w:r>
              <w:rPr>
                <w:rFonts w:ascii="宋体" w:hAnsi="宋体"/>
                <w:kern w:val="0"/>
                <w:szCs w:val="21"/>
              </w:rPr>
              <w:t>Operational Qualification 运行确认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5" w:hRule="exact"/>
          <w:jc w:val="center"/>
        </w:trPr>
        <w:tc>
          <w:tcPr>
            <w:tcW w:w="1459" w:type="dxa"/>
            <w:tcBorders>
              <w:top w:val="single" w:color="auto" w:sz="4" w:space="0"/>
              <w:left w:val="single" w:color="auto" w:sz="4" w:space="0"/>
              <w:bottom w:val="single" w:color="auto" w:sz="4" w:space="0"/>
              <w:right w:val="single" w:color="auto" w:sz="4" w:space="0"/>
            </w:tcBorders>
          </w:tcPr>
          <w:p>
            <w:pPr>
              <w:jc w:val="center"/>
              <w:rPr>
                <w:rFonts w:ascii="宋体" w:hAnsi="宋体"/>
                <w:kern w:val="0"/>
                <w:szCs w:val="21"/>
              </w:rPr>
            </w:pPr>
            <w:r>
              <w:rPr>
                <w:rFonts w:ascii="宋体" w:hAnsi="宋体"/>
                <w:kern w:val="0"/>
                <w:szCs w:val="21"/>
              </w:rPr>
              <w:t>PQ</w:t>
            </w:r>
          </w:p>
        </w:tc>
        <w:tc>
          <w:tcPr>
            <w:tcW w:w="8093" w:type="dxa"/>
            <w:tcBorders>
              <w:top w:val="single" w:color="auto" w:sz="4" w:space="0"/>
              <w:left w:val="single" w:color="auto" w:sz="4" w:space="0"/>
              <w:bottom w:val="single" w:color="auto" w:sz="4" w:space="0"/>
              <w:right w:val="single" w:color="auto" w:sz="4" w:space="0"/>
            </w:tcBorders>
          </w:tcPr>
          <w:p>
            <w:pPr>
              <w:rPr>
                <w:rFonts w:ascii="宋体" w:hAnsi="宋体"/>
                <w:kern w:val="0"/>
                <w:szCs w:val="21"/>
              </w:rPr>
            </w:pPr>
            <w:r>
              <w:rPr>
                <w:rFonts w:ascii="宋体" w:hAnsi="宋体"/>
                <w:kern w:val="0"/>
                <w:szCs w:val="21"/>
              </w:rPr>
              <w:t>Performance Qualification 性能确认</w:t>
            </w:r>
          </w:p>
        </w:tc>
      </w:tr>
      <w:bookmarkEnd w:id="114"/>
    </w:tbl>
    <w:p>
      <w:pPr>
        <w:pStyle w:val="10"/>
        <w:tabs>
          <w:tab w:val="left" w:pos="993"/>
        </w:tabs>
        <w:spacing w:before="100" w:beforeAutospacing="1" w:after="100" w:afterAutospacing="1"/>
        <w:rPr>
          <w:rFonts w:hAnsi="宋体"/>
          <w:sz w:val="24"/>
        </w:rPr>
      </w:pPr>
    </w:p>
    <w:sectPr>
      <w:headerReference r:id="rId3" w:type="default"/>
      <w:footerReference r:id="rId4" w:type="default"/>
      <w:pgSz w:w="11906" w:h="16838"/>
      <w:pgMar w:top="1701" w:right="1134" w:bottom="1134" w:left="1134" w:header="851" w:footer="567" w:gutter="284"/>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9072"/>
        <w:tab w:val="clear" w:pos="4153"/>
        <w:tab w:val="clear" w:pos="8306"/>
      </w:tabs>
      <w:ind w:right="-2"/>
      <w:jc w:val="left"/>
      <w:rPr>
        <w:sz w:val="21"/>
        <w:szCs w:val="21"/>
      </w:rPr>
    </w:pPr>
    <w:r>
      <w:rPr>
        <w:rFonts w:cs="宋体"/>
        <w:sz w:val="21"/>
        <w:szCs w:val="21"/>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5AB07F"/>
    <w:multiLevelType w:val="singleLevel"/>
    <w:tmpl w:val="AC5AB07F"/>
    <w:lvl w:ilvl="0" w:tentative="0">
      <w:start w:val="1"/>
      <w:numFmt w:val="bullet"/>
      <w:lvlText w:val=""/>
      <w:lvlJc w:val="left"/>
      <w:pPr>
        <w:ind w:left="420" w:hanging="420"/>
      </w:pPr>
      <w:rPr>
        <w:rFonts w:hint="default" w:ascii="Wingdings" w:hAnsi="Wingdings"/>
      </w:rPr>
    </w:lvl>
  </w:abstractNum>
  <w:abstractNum w:abstractNumId="1">
    <w:nsid w:val="40C04945"/>
    <w:multiLevelType w:val="multilevel"/>
    <w:tmpl w:val="40C04945"/>
    <w:lvl w:ilvl="0" w:tentative="0">
      <w:start w:val="1"/>
      <w:numFmt w:val="bullet"/>
      <w:lvlText w:val=""/>
      <w:lvlJc w:val="left"/>
      <w:pPr>
        <w:ind w:left="1129" w:hanging="420"/>
      </w:pPr>
      <w:rPr>
        <w:rFonts w:hint="default" w:ascii="Wingdings" w:hAnsi="Wingdings"/>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2">
    <w:nsid w:val="43F66B54"/>
    <w:multiLevelType w:val="multilevel"/>
    <w:tmpl w:val="43F66B5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1" w:hanging="851"/>
      </w:pPr>
      <w:rPr>
        <w:rFonts w:hint="default"/>
      </w:rPr>
    </w:lvl>
    <w:lvl w:ilvl="4" w:tentative="0">
      <w:start w:val="1"/>
      <w:numFmt w:val="decimal"/>
      <w:lvlText w:val="%1.%2.%3.%4.%5."/>
      <w:lvlJc w:val="left"/>
      <w:pPr>
        <w:ind w:left="992" w:hanging="992"/>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6" w:hanging="1276"/>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9" w:hanging="1559"/>
      </w:pPr>
      <w:rPr>
        <w:rFonts w:hint="default"/>
      </w:rPr>
    </w:lvl>
  </w:abstractNum>
  <w:abstractNum w:abstractNumId="3">
    <w:nsid w:val="5E4C6233"/>
    <w:multiLevelType w:val="singleLevel"/>
    <w:tmpl w:val="5E4C6233"/>
    <w:lvl w:ilvl="0" w:tentative="0">
      <w:start w:val="1"/>
      <w:numFmt w:val="bullet"/>
      <w:pStyle w:val="6"/>
      <w:lvlText w:val=""/>
      <w:lvlJc w:val="left"/>
      <w:pPr>
        <w:tabs>
          <w:tab w:val="left" w:pos="360"/>
        </w:tabs>
        <w:ind w:left="360" w:hanging="360"/>
      </w:pPr>
      <w:rPr>
        <w:rFonts w:hint="default" w:ascii="Wingdings" w:hAnsi="Wingdings"/>
      </w:rPr>
    </w:lvl>
  </w:abstractNum>
  <w:num w:numId="1">
    <w:abstractNumId w:val="2"/>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A95"/>
    <w:rsid w:val="00003519"/>
    <w:rsid w:val="00003C9A"/>
    <w:rsid w:val="00004A9D"/>
    <w:rsid w:val="0000627B"/>
    <w:rsid w:val="00006CCD"/>
    <w:rsid w:val="000071AC"/>
    <w:rsid w:val="000109FC"/>
    <w:rsid w:val="000113BB"/>
    <w:rsid w:val="00014343"/>
    <w:rsid w:val="00015740"/>
    <w:rsid w:val="00017132"/>
    <w:rsid w:val="00020A85"/>
    <w:rsid w:val="00021A2C"/>
    <w:rsid w:val="00024308"/>
    <w:rsid w:val="00025102"/>
    <w:rsid w:val="00030E86"/>
    <w:rsid w:val="0003147E"/>
    <w:rsid w:val="00032198"/>
    <w:rsid w:val="000321F3"/>
    <w:rsid w:val="00033152"/>
    <w:rsid w:val="0003573E"/>
    <w:rsid w:val="000377A9"/>
    <w:rsid w:val="00040CA3"/>
    <w:rsid w:val="00044D01"/>
    <w:rsid w:val="000467CC"/>
    <w:rsid w:val="0005303F"/>
    <w:rsid w:val="0005636E"/>
    <w:rsid w:val="000609AD"/>
    <w:rsid w:val="00060A7E"/>
    <w:rsid w:val="000650FA"/>
    <w:rsid w:val="00067F23"/>
    <w:rsid w:val="000703DD"/>
    <w:rsid w:val="00076AE3"/>
    <w:rsid w:val="00082C61"/>
    <w:rsid w:val="000865BE"/>
    <w:rsid w:val="00090672"/>
    <w:rsid w:val="000912A7"/>
    <w:rsid w:val="000921EE"/>
    <w:rsid w:val="00093ECF"/>
    <w:rsid w:val="00096364"/>
    <w:rsid w:val="0009677D"/>
    <w:rsid w:val="00096E95"/>
    <w:rsid w:val="00097163"/>
    <w:rsid w:val="000A15C4"/>
    <w:rsid w:val="000A2523"/>
    <w:rsid w:val="000A3490"/>
    <w:rsid w:val="000A52FB"/>
    <w:rsid w:val="000B0996"/>
    <w:rsid w:val="000B138C"/>
    <w:rsid w:val="000B506A"/>
    <w:rsid w:val="000B7861"/>
    <w:rsid w:val="000C144A"/>
    <w:rsid w:val="000C2A6D"/>
    <w:rsid w:val="000C407A"/>
    <w:rsid w:val="000C5212"/>
    <w:rsid w:val="000C583A"/>
    <w:rsid w:val="000D01CB"/>
    <w:rsid w:val="000D642D"/>
    <w:rsid w:val="000D65AA"/>
    <w:rsid w:val="000E0515"/>
    <w:rsid w:val="000E2FAE"/>
    <w:rsid w:val="000F1C08"/>
    <w:rsid w:val="000F2E3B"/>
    <w:rsid w:val="000F52EB"/>
    <w:rsid w:val="000F6ACF"/>
    <w:rsid w:val="00101915"/>
    <w:rsid w:val="001040CF"/>
    <w:rsid w:val="00104F95"/>
    <w:rsid w:val="001104C6"/>
    <w:rsid w:val="0011063F"/>
    <w:rsid w:val="0011065C"/>
    <w:rsid w:val="00110D87"/>
    <w:rsid w:val="001112A2"/>
    <w:rsid w:val="00112FBB"/>
    <w:rsid w:val="00115DB5"/>
    <w:rsid w:val="00117880"/>
    <w:rsid w:val="00126E98"/>
    <w:rsid w:val="00126F87"/>
    <w:rsid w:val="0013085B"/>
    <w:rsid w:val="001309DB"/>
    <w:rsid w:val="00130B86"/>
    <w:rsid w:val="00131460"/>
    <w:rsid w:val="00132AE0"/>
    <w:rsid w:val="001404C7"/>
    <w:rsid w:val="00141342"/>
    <w:rsid w:val="00141C84"/>
    <w:rsid w:val="00141F0D"/>
    <w:rsid w:val="00143238"/>
    <w:rsid w:val="001435CD"/>
    <w:rsid w:val="001479D9"/>
    <w:rsid w:val="00153F66"/>
    <w:rsid w:val="00155B59"/>
    <w:rsid w:val="0016292A"/>
    <w:rsid w:val="001640B7"/>
    <w:rsid w:val="001667F3"/>
    <w:rsid w:val="00172A27"/>
    <w:rsid w:val="001744FF"/>
    <w:rsid w:val="0017593E"/>
    <w:rsid w:val="001767C5"/>
    <w:rsid w:val="00176B09"/>
    <w:rsid w:val="00180525"/>
    <w:rsid w:val="00181B64"/>
    <w:rsid w:val="001820D8"/>
    <w:rsid w:val="00183B0B"/>
    <w:rsid w:val="00184D28"/>
    <w:rsid w:val="00185E04"/>
    <w:rsid w:val="00186ADF"/>
    <w:rsid w:val="00186D36"/>
    <w:rsid w:val="00190CC7"/>
    <w:rsid w:val="001923DE"/>
    <w:rsid w:val="001A0B95"/>
    <w:rsid w:val="001A3B8A"/>
    <w:rsid w:val="001A43EA"/>
    <w:rsid w:val="001A7029"/>
    <w:rsid w:val="001B0060"/>
    <w:rsid w:val="001B1416"/>
    <w:rsid w:val="001B43D3"/>
    <w:rsid w:val="001C254C"/>
    <w:rsid w:val="001C27F4"/>
    <w:rsid w:val="001D0CCC"/>
    <w:rsid w:val="001D2098"/>
    <w:rsid w:val="001D4FE1"/>
    <w:rsid w:val="001D6F0B"/>
    <w:rsid w:val="001D7D55"/>
    <w:rsid w:val="001E4917"/>
    <w:rsid w:val="001E7763"/>
    <w:rsid w:val="001F3097"/>
    <w:rsid w:val="001F381A"/>
    <w:rsid w:val="001F437D"/>
    <w:rsid w:val="001F5145"/>
    <w:rsid w:val="001F663A"/>
    <w:rsid w:val="001F6F09"/>
    <w:rsid w:val="001F6F78"/>
    <w:rsid w:val="00204064"/>
    <w:rsid w:val="00206EAF"/>
    <w:rsid w:val="0021231B"/>
    <w:rsid w:val="002135BC"/>
    <w:rsid w:val="00216BB6"/>
    <w:rsid w:val="002246E7"/>
    <w:rsid w:val="00225E1B"/>
    <w:rsid w:val="002302CC"/>
    <w:rsid w:val="00230C1E"/>
    <w:rsid w:val="002329C4"/>
    <w:rsid w:val="002354B5"/>
    <w:rsid w:val="00236B29"/>
    <w:rsid w:val="002417C6"/>
    <w:rsid w:val="00241C91"/>
    <w:rsid w:val="00241E9F"/>
    <w:rsid w:val="002427C6"/>
    <w:rsid w:val="00244E38"/>
    <w:rsid w:val="00252708"/>
    <w:rsid w:val="00252896"/>
    <w:rsid w:val="002528F1"/>
    <w:rsid w:val="00252D60"/>
    <w:rsid w:val="0025759F"/>
    <w:rsid w:val="00264055"/>
    <w:rsid w:val="00264BDB"/>
    <w:rsid w:val="0027119A"/>
    <w:rsid w:val="00273FF6"/>
    <w:rsid w:val="00275BB1"/>
    <w:rsid w:val="002812B1"/>
    <w:rsid w:val="00281940"/>
    <w:rsid w:val="002822F8"/>
    <w:rsid w:val="00282409"/>
    <w:rsid w:val="00282778"/>
    <w:rsid w:val="00282E33"/>
    <w:rsid w:val="00283189"/>
    <w:rsid w:val="00283A33"/>
    <w:rsid w:val="00284137"/>
    <w:rsid w:val="00285619"/>
    <w:rsid w:val="00287534"/>
    <w:rsid w:val="00290A47"/>
    <w:rsid w:val="002974C1"/>
    <w:rsid w:val="002A00AC"/>
    <w:rsid w:val="002A0ECF"/>
    <w:rsid w:val="002A56A9"/>
    <w:rsid w:val="002A6B7D"/>
    <w:rsid w:val="002B03D2"/>
    <w:rsid w:val="002B07F2"/>
    <w:rsid w:val="002B3517"/>
    <w:rsid w:val="002B35CE"/>
    <w:rsid w:val="002B4268"/>
    <w:rsid w:val="002B7C65"/>
    <w:rsid w:val="002C1632"/>
    <w:rsid w:val="002C4487"/>
    <w:rsid w:val="002C4832"/>
    <w:rsid w:val="002C68AF"/>
    <w:rsid w:val="002C7172"/>
    <w:rsid w:val="002D0EAC"/>
    <w:rsid w:val="002D4A88"/>
    <w:rsid w:val="002D5049"/>
    <w:rsid w:val="002D53D0"/>
    <w:rsid w:val="002D7E88"/>
    <w:rsid w:val="002E3FCF"/>
    <w:rsid w:val="002E57A9"/>
    <w:rsid w:val="002E7A73"/>
    <w:rsid w:val="002F7901"/>
    <w:rsid w:val="0030164B"/>
    <w:rsid w:val="00302B97"/>
    <w:rsid w:val="00302EF5"/>
    <w:rsid w:val="00303017"/>
    <w:rsid w:val="00306325"/>
    <w:rsid w:val="0030754E"/>
    <w:rsid w:val="00310683"/>
    <w:rsid w:val="0031124F"/>
    <w:rsid w:val="003123FD"/>
    <w:rsid w:val="00312839"/>
    <w:rsid w:val="00313840"/>
    <w:rsid w:val="00313C3D"/>
    <w:rsid w:val="00313CCC"/>
    <w:rsid w:val="0032086A"/>
    <w:rsid w:val="00323BB3"/>
    <w:rsid w:val="00330DFC"/>
    <w:rsid w:val="003313B0"/>
    <w:rsid w:val="00332B14"/>
    <w:rsid w:val="00334335"/>
    <w:rsid w:val="003349A5"/>
    <w:rsid w:val="003359C5"/>
    <w:rsid w:val="00337F45"/>
    <w:rsid w:val="003406AD"/>
    <w:rsid w:val="00340805"/>
    <w:rsid w:val="003409BA"/>
    <w:rsid w:val="003418B2"/>
    <w:rsid w:val="00343C46"/>
    <w:rsid w:val="00346A87"/>
    <w:rsid w:val="003513CE"/>
    <w:rsid w:val="003526A1"/>
    <w:rsid w:val="0035280C"/>
    <w:rsid w:val="00363D16"/>
    <w:rsid w:val="00366DA1"/>
    <w:rsid w:val="00367771"/>
    <w:rsid w:val="00374549"/>
    <w:rsid w:val="00380289"/>
    <w:rsid w:val="00390CFC"/>
    <w:rsid w:val="00390FF5"/>
    <w:rsid w:val="00394D63"/>
    <w:rsid w:val="00396232"/>
    <w:rsid w:val="003975F3"/>
    <w:rsid w:val="003A0D99"/>
    <w:rsid w:val="003A1C34"/>
    <w:rsid w:val="003A22BC"/>
    <w:rsid w:val="003A3071"/>
    <w:rsid w:val="003A427E"/>
    <w:rsid w:val="003A4C45"/>
    <w:rsid w:val="003A5B77"/>
    <w:rsid w:val="003A60E2"/>
    <w:rsid w:val="003A6C48"/>
    <w:rsid w:val="003B26B6"/>
    <w:rsid w:val="003B648B"/>
    <w:rsid w:val="003B7FB0"/>
    <w:rsid w:val="003C1C86"/>
    <w:rsid w:val="003C215B"/>
    <w:rsid w:val="003C2BA8"/>
    <w:rsid w:val="003C455B"/>
    <w:rsid w:val="003C5FAD"/>
    <w:rsid w:val="003C719E"/>
    <w:rsid w:val="003C7F63"/>
    <w:rsid w:val="003D17E8"/>
    <w:rsid w:val="003D34CE"/>
    <w:rsid w:val="003D392B"/>
    <w:rsid w:val="003D3F22"/>
    <w:rsid w:val="003E21B0"/>
    <w:rsid w:val="003E3525"/>
    <w:rsid w:val="003E3A7F"/>
    <w:rsid w:val="003E711E"/>
    <w:rsid w:val="003F094A"/>
    <w:rsid w:val="003F0D24"/>
    <w:rsid w:val="003F1167"/>
    <w:rsid w:val="003F1C91"/>
    <w:rsid w:val="003F2A3E"/>
    <w:rsid w:val="003F3FAF"/>
    <w:rsid w:val="003F4E5D"/>
    <w:rsid w:val="003F5BC6"/>
    <w:rsid w:val="003F6F01"/>
    <w:rsid w:val="003F6F2E"/>
    <w:rsid w:val="00402824"/>
    <w:rsid w:val="00403329"/>
    <w:rsid w:val="0040459A"/>
    <w:rsid w:val="004067D4"/>
    <w:rsid w:val="00407712"/>
    <w:rsid w:val="004121E0"/>
    <w:rsid w:val="004148B6"/>
    <w:rsid w:val="00417449"/>
    <w:rsid w:val="004177E8"/>
    <w:rsid w:val="004177EF"/>
    <w:rsid w:val="004205E6"/>
    <w:rsid w:val="0042102A"/>
    <w:rsid w:val="00421412"/>
    <w:rsid w:val="00422BE7"/>
    <w:rsid w:val="00422E41"/>
    <w:rsid w:val="004253A4"/>
    <w:rsid w:val="00432A4B"/>
    <w:rsid w:val="0043375E"/>
    <w:rsid w:val="004345A5"/>
    <w:rsid w:val="0043560F"/>
    <w:rsid w:val="0044033C"/>
    <w:rsid w:val="0044049A"/>
    <w:rsid w:val="004407AA"/>
    <w:rsid w:val="00440F98"/>
    <w:rsid w:val="0044220E"/>
    <w:rsid w:val="0044398E"/>
    <w:rsid w:val="004442F8"/>
    <w:rsid w:val="00445CA2"/>
    <w:rsid w:val="00451B2F"/>
    <w:rsid w:val="00457492"/>
    <w:rsid w:val="0046040C"/>
    <w:rsid w:val="00461447"/>
    <w:rsid w:val="004619B5"/>
    <w:rsid w:val="00462A74"/>
    <w:rsid w:val="00462D82"/>
    <w:rsid w:val="00464176"/>
    <w:rsid w:val="0046421F"/>
    <w:rsid w:val="00464B13"/>
    <w:rsid w:val="004679E4"/>
    <w:rsid w:val="00470884"/>
    <w:rsid w:val="004767F2"/>
    <w:rsid w:val="004842C5"/>
    <w:rsid w:val="0048483C"/>
    <w:rsid w:val="00486EC1"/>
    <w:rsid w:val="00487969"/>
    <w:rsid w:val="004912E8"/>
    <w:rsid w:val="00491BE0"/>
    <w:rsid w:val="00492627"/>
    <w:rsid w:val="004963DE"/>
    <w:rsid w:val="004A085B"/>
    <w:rsid w:val="004A09A0"/>
    <w:rsid w:val="004A2E06"/>
    <w:rsid w:val="004A68BE"/>
    <w:rsid w:val="004A7F1C"/>
    <w:rsid w:val="004B0528"/>
    <w:rsid w:val="004B08F3"/>
    <w:rsid w:val="004B1CD3"/>
    <w:rsid w:val="004B273E"/>
    <w:rsid w:val="004B4327"/>
    <w:rsid w:val="004B477C"/>
    <w:rsid w:val="004B4C8B"/>
    <w:rsid w:val="004B4CB1"/>
    <w:rsid w:val="004B4EB1"/>
    <w:rsid w:val="004B6101"/>
    <w:rsid w:val="004B6A58"/>
    <w:rsid w:val="004B7E62"/>
    <w:rsid w:val="004C1912"/>
    <w:rsid w:val="004C1C57"/>
    <w:rsid w:val="004C26E4"/>
    <w:rsid w:val="004C3667"/>
    <w:rsid w:val="004C6492"/>
    <w:rsid w:val="004D1057"/>
    <w:rsid w:val="004D2FD6"/>
    <w:rsid w:val="004D543A"/>
    <w:rsid w:val="004E6371"/>
    <w:rsid w:val="004F09E3"/>
    <w:rsid w:val="004F10E0"/>
    <w:rsid w:val="004F7766"/>
    <w:rsid w:val="00500942"/>
    <w:rsid w:val="00501A3D"/>
    <w:rsid w:val="00502F69"/>
    <w:rsid w:val="005058D4"/>
    <w:rsid w:val="00507853"/>
    <w:rsid w:val="005101F9"/>
    <w:rsid w:val="0051093F"/>
    <w:rsid w:val="005120B8"/>
    <w:rsid w:val="00512F66"/>
    <w:rsid w:val="00515E69"/>
    <w:rsid w:val="005160FF"/>
    <w:rsid w:val="00516F78"/>
    <w:rsid w:val="005230D1"/>
    <w:rsid w:val="00527609"/>
    <w:rsid w:val="0053081C"/>
    <w:rsid w:val="00534495"/>
    <w:rsid w:val="00544180"/>
    <w:rsid w:val="00545275"/>
    <w:rsid w:val="00551FA1"/>
    <w:rsid w:val="00552BBF"/>
    <w:rsid w:val="005537BC"/>
    <w:rsid w:val="00553CBB"/>
    <w:rsid w:val="00556A75"/>
    <w:rsid w:val="00560588"/>
    <w:rsid w:val="0056114A"/>
    <w:rsid w:val="00570685"/>
    <w:rsid w:val="005710AD"/>
    <w:rsid w:val="00572AB4"/>
    <w:rsid w:val="0057384F"/>
    <w:rsid w:val="00573B79"/>
    <w:rsid w:val="00586F6E"/>
    <w:rsid w:val="00591D5A"/>
    <w:rsid w:val="00593D48"/>
    <w:rsid w:val="00596775"/>
    <w:rsid w:val="005A0886"/>
    <w:rsid w:val="005A2AF9"/>
    <w:rsid w:val="005B0BD7"/>
    <w:rsid w:val="005C0C05"/>
    <w:rsid w:val="005C121F"/>
    <w:rsid w:val="005C2B56"/>
    <w:rsid w:val="005D081C"/>
    <w:rsid w:val="005D1C7A"/>
    <w:rsid w:val="005D2D7B"/>
    <w:rsid w:val="005D456D"/>
    <w:rsid w:val="005D7A49"/>
    <w:rsid w:val="005E1B5C"/>
    <w:rsid w:val="005E1E74"/>
    <w:rsid w:val="005E2C89"/>
    <w:rsid w:val="005E4A1C"/>
    <w:rsid w:val="005E4FD8"/>
    <w:rsid w:val="005E6071"/>
    <w:rsid w:val="005E6C70"/>
    <w:rsid w:val="005E76CF"/>
    <w:rsid w:val="005F2048"/>
    <w:rsid w:val="005F2DF0"/>
    <w:rsid w:val="005F447B"/>
    <w:rsid w:val="005F74B7"/>
    <w:rsid w:val="005F7DB3"/>
    <w:rsid w:val="00603C72"/>
    <w:rsid w:val="00604423"/>
    <w:rsid w:val="00606CB8"/>
    <w:rsid w:val="00606E3A"/>
    <w:rsid w:val="00607501"/>
    <w:rsid w:val="00611DE0"/>
    <w:rsid w:val="006124FF"/>
    <w:rsid w:val="006160AF"/>
    <w:rsid w:val="00621537"/>
    <w:rsid w:val="00622360"/>
    <w:rsid w:val="00622DE8"/>
    <w:rsid w:val="00622E1B"/>
    <w:rsid w:val="00623077"/>
    <w:rsid w:val="006273BC"/>
    <w:rsid w:val="006341D0"/>
    <w:rsid w:val="006341E5"/>
    <w:rsid w:val="00634BFF"/>
    <w:rsid w:val="006359AE"/>
    <w:rsid w:val="006367D1"/>
    <w:rsid w:val="006372A6"/>
    <w:rsid w:val="00637B26"/>
    <w:rsid w:val="006435BE"/>
    <w:rsid w:val="00643F5F"/>
    <w:rsid w:val="00647481"/>
    <w:rsid w:val="00650D8E"/>
    <w:rsid w:val="006530C8"/>
    <w:rsid w:val="006541D7"/>
    <w:rsid w:val="0065440A"/>
    <w:rsid w:val="00655200"/>
    <w:rsid w:val="00655336"/>
    <w:rsid w:val="006611D6"/>
    <w:rsid w:val="006623A4"/>
    <w:rsid w:val="00662A3F"/>
    <w:rsid w:val="00673F56"/>
    <w:rsid w:val="006754E7"/>
    <w:rsid w:val="00675756"/>
    <w:rsid w:val="00677463"/>
    <w:rsid w:val="006778C1"/>
    <w:rsid w:val="00680CEE"/>
    <w:rsid w:val="00683182"/>
    <w:rsid w:val="00683B55"/>
    <w:rsid w:val="00685110"/>
    <w:rsid w:val="00696761"/>
    <w:rsid w:val="006A00C5"/>
    <w:rsid w:val="006A111D"/>
    <w:rsid w:val="006A1979"/>
    <w:rsid w:val="006A2EDE"/>
    <w:rsid w:val="006A4335"/>
    <w:rsid w:val="006A437C"/>
    <w:rsid w:val="006A4427"/>
    <w:rsid w:val="006A5C29"/>
    <w:rsid w:val="006A7092"/>
    <w:rsid w:val="006A79A5"/>
    <w:rsid w:val="006A7E10"/>
    <w:rsid w:val="006B0C77"/>
    <w:rsid w:val="006B1BF5"/>
    <w:rsid w:val="006B369A"/>
    <w:rsid w:val="006B3E9E"/>
    <w:rsid w:val="006B508E"/>
    <w:rsid w:val="006C02E2"/>
    <w:rsid w:val="006C1A6F"/>
    <w:rsid w:val="006C21F1"/>
    <w:rsid w:val="006C2216"/>
    <w:rsid w:val="006D333E"/>
    <w:rsid w:val="006D5738"/>
    <w:rsid w:val="006D6A53"/>
    <w:rsid w:val="006D6BB1"/>
    <w:rsid w:val="006E03CE"/>
    <w:rsid w:val="006E14B3"/>
    <w:rsid w:val="006E269A"/>
    <w:rsid w:val="006E2BCD"/>
    <w:rsid w:val="006E40AD"/>
    <w:rsid w:val="006E7571"/>
    <w:rsid w:val="006E7CAC"/>
    <w:rsid w:val="006F0FA2"/>
    <w:rsid w:val="006F324F"/>
    <w:rsid w:val="006F482B"/>
    <w:rsid w:val="006F5BC5"/>
    <w:rsid w:val="006F694E"/>
    <w:rsid w:val="00700515"/>
    <w:rsid w:val="00704915"/>
    <w:rsid w:val="007072FC"/>
    <w:rsid w:val="007075E1"/>
    <w:rsid w:val="00710044"/>
    <w:rsid w:val="0071060E"/>
    <w:rsid w:val="007122AE"/>
    <w:rsid w:val="0071255C"/>
    <w:rsid w:val="00712A37"/>
    <w:rsid w:val="007136FC"/>
    <w:rsid w:val="00713F3B"/>
    <w:rsid w:val="0071432B"/>
    <w:rsid w:val="00714D5B"/>
    <w:rsid w:val="00715722"/>
    <w:rsid w:val="00717B6C"/>
    <w:rsid w:val="00723B56"/>
    <w:rsid w:val="00731570"/>
    <w:rsid w:val="00731714"/>
    <w:rsid w:val="007417C0"/>
    <w:rsid w:val="00741FAB"/>
    <w:rsid w:val="00744841"/>
    <w:rsid w:val="00746553"/>
    <w:rsid w:val="007469EC"/>
    <w:rsid w:val="007471CF"/>
    <w:rsid w:val="00747FE2"/>
    <w:rsid w:val="00753F51"/>
    <w:rsid w:val="00763A06"/>
    <w:rsid w:val="00766D0D"/>
    <w:rsid w:val="00770901"/>
    <w:rsid w:val="00772627"/>
    <w:rsid w:val="007734BB"/>
    <w:rsid w:val="00775CE9"/>
    <w:rsid w:val="00781B2C"/>
    <w:rsid w:val="00782C0A"/>
    <w:rsid w:val="0078493B"/>
    <w:rsid w:val="00784F84"/>
    <w:rsid w:val="0078511A"/>
    <w:rsid w:val="00792BDA"/>
    <w:rsid w:val="00794C70"/>
    <w:rsid w:val="00795FF5"/>
    <w:rsid w:val="007A0D4D"/>
    <w:rsid w:val="007A15AA"/>
    <w:rsid w:val="007A1A8D"/>
    <w:rsid w:val="007A4313"/>
    <w:rsid w:val="007A4591"/>
    <w:rsid w:val="007A4B7B"/>
    <w:rsid w:val="007A730C"/>
    <w:rsid w:val="007B1816"/>
    <w:rsid w:val="007B2E06"/>
    <w:rsid w:val="007B6B69"/>
    <w:rsid w:val="007B7E0C"/>
    <w:rsid w:val="007C23D7"/>
    <w:rsid w:val="007C50CD"/>
    <w:rsid w:val="007C6942"/>
    <w:rsid w:val="007C703D"/>
    <w:rsid w:val="007D0B51"/>
    <w:rsid w:val="007D119F"/>
    <w:rsid w:val="007D2142"/>
    <w:rsid w:val="007D25D8"/>
    <w:rsid w:val="007D2690"/>
    <w:rsid w:val="007D273F"/>
    <w:rsid w:val="007D3659"/>
    <w:rsid w:val="007D3FF0"/>
    <w:rsid w:val="007D4F10"/>
    <w:rsid w:val="007D7A0E"/>
    <w:rsid w:val="007E2B2E"/>
    <w:rsid w:val="007E5556"/>
    <w:rsid w:val="007E5D40"/>
    <w:rsid w:val="007E7299"/>
    <w:rsid w:val="007F1CBF"/>
    <w:rsid w:val="007F2767"/>
    <w:rsid w:val="007F36F4"/>
    <w:rsid w:val="007F6CC3"/>
    <w:rsid w:val="0080059C"/>
    <w:rsid w:val="008009D2"/>
    <w:rsid w:val="008028BC"/>
    <w:rsid w:val="00802EEA"/>
    <w:rsid w:val="00804D4D"/>
    <w:rsid w:val="00811423"/>
    <w:rsid w:val="008122F4"/>
    <w:rsid w:val="00814E1C"/>
    <w:rsid w:val="00817B98"/>
    <w:rsid w:val="00820D41"/>
    <w:rsid w:val="008214B3"/>
    <w:rsid w:val="008218F2"/>
    <w:rsid w:val="00833EFA"/>
    <w:rsid w:val="00834E32"/>
    <w:rsid w:val="00835F13"/>
    <w:rsid w:val="0084329C"/>
    <w:rsid w:val="00844968"/>
    <w:rsid w:val="00850668"/>
    <w:rsid w:val="00852E74"/>
    <w:rsid w:val="00853A20"/>
    <w:rsid w:val="00856E80"/>
    <w:rsid w:val="00857083"/>
    <w:rsid w:val="00857B25"/>
    <w:rsid w:val="00860C00"/>
    <w:rsid w:val="0086164B"/>
    <w:rsid w:val="0086269D"/>
    <w:rsid w:val="008626DC"/>
    <w:rsid w:val="00862EB5"/>
    <w:rsid w:val="00865702"/>
    <w:rsid w:val="00866A43"/>
    <w:rsid w:val="00866E6A"/>
    <w:rsid w:val="0087378F"/>
    <w:rsid w:val="008766D0"/>
    <w:rsid w:val="008802E3"/>
    <w:rsid w:val="00883084"/>
    <w:rsid w:val="0088391D"/>
    <w:rsid w:val="0088525F"/>
    <w:rsid w:val="00886105"/>
    <w:rsid w:val="00890EC8"/>
    <w:rsid w:val="00891661"/>
    <w:rsid w:val="00891D8B"/>
    <w:rsid w:val="0089258B"/>
    <w:rsid w:val="00892C79"/>
    <w:rsid w:val="00894733"/>
    <w:rsid w:val="008A0401"/>
    <w:rsid w:val="008A0673"/>
    <w:rsid w:val="008A2DCB"/>
    <w:rsid w:val="008A5CB9"/>
    <w:rsid w:val="008A6964"/>
    <w:rsid w:val="008A7BEA"/>
    <w:rsid w:val="008A7DBA"/>
    <w:rsid w:val="008B09B9"/>
    <w:rsid w:val="008B2ACB"/>
    <w:rsid w:val="008B365F"/>
    <w:rsid w:val="008B6CA0"/>
    <w:rsid w:val="008B6DBD"/>
    <w:rsid w:val="008B779E"/>
    <w:rsid w:val="008C3283"/>
    <w:rsid w:val="008C799C"/>
    <w:rsid w:val="008D0848"/>
    <w:rsid w:val="008D2C1A"/>
    <w:rsid w:val="008D52CF"/>
    <w:rsid w:val="008E11FA"/>
    <w:rsid w:val="008E1BB0"/>
    <w:rsid w:val="008E2FCF"/>
    <w:rsid w:val="008E4527"/>
    <w:rsid w:val="008E76D8"/>
    <w:rsid w:val="008F173D"/>
    <w:rsid w:val="008F2246"/>
    <w:rsid w:val="008F3230"/>
    <w:rsid w:val="008F7C61"/>
    <w:rsid w:val="00911F76"/>
    <w:rsid w:val="0091440C"/>
    <w:rsid w:val="00916C53"/>
    <w:rsid w:val="00917853"/>
    <w:rsid w:val="00923A9B"/>
    <w:rsid w:val="00923F74"/>
    <w:rsid w:val="00931853"/>
    <w:rsid w:val="00941A86"/>
    <w:rsid w:val="0094257E"/>
    <w:rsid w:val="00943249"/>
    <w:rsid w:val="00944A14"/>
    <w:rsid w:val="00947AD0"/>
    <w:rsid w:val="00951628"/>
    <w:rsid w:val="00952F45"/>
    <w:rsid w:val="00960896"/>
    <w:rsid w:val="009614D8"/>
    <w:rsid w:val="009616AF"/>
    <w:rsid w:val="00961E88"/>
    <w:rsid w:val="00962663"/>
    <w:rsid w:val="0096353D"/>
    <w:rsid w:val="00966D50"/>
    <w:rsid w:val="0097031D"/>
    <w:rsid w:val="00975027"/>
    <w:rsid w:val="00980FFB"/>
    <w:rsid w:val="0098202F"/>
    <w:rsid w:val="009837B2"/>
    <w:rsid w:val="00984D91"/>
    <w:rsid w:val="0098510E"/>
    <w:rsid w:val="00987396"/>
    <w:rsid w:val="00990747"/>
    <w:rsid w:val="00991D3A"/>
    <w:rsid w:val="00993A32"/>
    <w:rsid w:val="009943E5"/>
    <w:rsid w:val="00995FEC"/>
    <w:rsid w:val="00997256"/>
    <w:rsid w:val="0099787E"/>
    <w:rsid w:val="009A096F"/>
    <w:rsid w:val="009A1E44"/>
    <w:rsid w:val="009A2F5A"/>
    <w:rsid w:val="009A448E"/>
    <w:rsid w:val="009A7B31"/>
    <w:rsid w:val="009B25DC"/>
    <w:rsid w:val="009B2F40"/>
    <w:rsid w:val="009B34B9"/>
    <w:rsid w:val="009B353C"/>
    <w:rsid w:val="009B3E51"/>
    <w:rsid w:val="009B4B4A"/>
    <w:rsid w:val="009C0FFB"/>
    <w:rsid w:val="009C17F2"/>
    <w:rsid w:val="009C78BB"/>
    <w:rsid w:val="009D17A6"/>
    <w:rsid w:val="009D2D13"/>
    <w:rsid w:val="009D38F7"/>
    <w:rsid w:val="009D40EE"/>
    <w:rsid w:val="009D6ADD"/>
    <w:rsid w:val="009D797C"/>
    <w:rsid w:val="009E041A"/>
    <w:rsid w:val="009E0D95"/>
    <w:rsid w:val="009E32E6"/>
    <w:rsid w:val="009E34F6"/>
    <w:rsid w:val="009E4323"/>
    <w:rsid w:val="009F291A"/>
    <w:rsid w:val="009F2DFE"/>
    <w:rsid w:val="009F2FA7"/>
    <w:rsid w:val="009F4627"/>
    <w:rsid w:val="00A00C7E"/>
    <w:rsid w:val="00A00DA4"/>
    <w:rsid w:val="00A01ACE"/>
    <w:rsid w:val="00A01C0E"/>
    <w:rsid w:val="00A07548"/>
    <w:rsid w:val="00A11EA7"/>
    <w:rsid w:val="00A15398"/>
    <w:rsid w:val="00A15B99"/>
    <w:rsid w:val="00A2079F"/>
    <w:rsid w:val="00A301C7"/>
    <w:rsid w:val="00A32197"/>
    <w:rsid w:val="00A3411D"/>
    <w:rsid w:val="00A344F8"/>
    <w:rsid w:val="00A34D54"/>
    <w:rsid w:val="00A35332"/>
    <w:rsid w:val="00A361CC"/>
    <w:rsid w:val="00A370B1"/>
    <w:rsid w:val="00A371AB"/>
    <w:rsid w:val="00A42B6C"/>
    <w:rsid w:val="00A46BD3"/>
    <w:rsid w:val="00A50097"/>
    <w:rsid w:val="00A50401"/>
    <w:rsid w:val="00A506F1"/>
    <w:rsid w:val="00A5332D"/>
    <w:rsid w:val="00A54AE8"/>
    <w:rsid w:val="00A562B3"/>
    <w:rsid w:val="00A57EA5"/>
    <w:rsid w:val="00A60285"/>
    <w:rsid w:val="00A61A16"/>
    <w:rsid w:val="00A61E48"/>
    <w:rsid w:val="00A624E7"/>
    <w:rsid w:val="00A63981"/>
    <w:rsid w:val="00A64333"/>
    <w:rsid w:val="00A707C6"/>
    <w:rsid w:val="00A70C99"/>
    <w:rsid w:val="00A71E66"/>
    <w:rsid w:val="00A750B5"/>
    <w:rsid w:val="00A76D78"/>
    <w:rsid w:val="00A77942"/>
    <w:rsid w:val="00A80A9D"/>
    <w:rsid w:val="00A80D2C"/>
    <w:rsid w:val="00A820D4"/>
    <w:rsid w:val="00A824EA"/>
    <w:rsid w:val="00A87E52"/>
    <w:rsid w:val="00A925F9"/>
    <w:rsid w:val="00A93B2D"/>
    <w:rsid w:val="00A94314"/>
    <w:rsid w:val="00A94682"/>
    <w:rsid w:val="00A94B88"/>
    <w:rsid w:val="00AA16D3"/>
    <w:rsid w:val="00AA6775"/>
    <w:rsid w:val="00AB3FCD"/>
    <w:rsid w:val="00AB5754"/>
    <w:rsid w:val="00AB5916"/>
    <w:rsid w:val="00AB655E"/>
    <w:rsid w:val="00AB6A0A"/>
    <w:rsid w:val="00AB7ECA"/>
    <w:rsid w:val="00AC1570"/>
    <w:rsid w:val="00AC62A8"/>
    <w:rsid w:val="00AD11AC"/>
    <w:rsid w:val="00AD13D9"/>
    <w:rsid w:val="00AE1CB8"/>
    <w:rsid w:val="00AE283D"/>
    <w:rsid w:val="00AE2BD9"/>
    <w:rsid w:val="00AE4148"/>
    <w:rsid w:val="00AE4E80"/>
    <w:rsid w:val="00AF04B7"/>
    <w:rsid w:val="00AF119B"/>
    <w:rsid w:val="00AF1317"/>
    <w:rsid w:val="00B00A37"/>
    <w:rsid w:val="00B01058"/>
    <w:rsid w:val="00B1089E"/>
    <w:rsid w:val="00B132E2"/>
    <w:rsid w:val="00B15859"/>
    <w:rsid w:val="00B22043"/>
    <w:rsid w:val="00B2495C"/>
    <w:rsid w:val="00B251B0"/>
    <w:rsid w:val="00B253FF"/>
    <w:rsid w:val="00B26CA0"/>
    <w:rsid w:val="00B271ED"/>
    <w:rsid w:val="00B27B98"/>
    <w:rsid w:val="00B30BAD"/>
    <w:rsid w:val="00B31F9D"/>
    <w:rsid w:val="00B341CB"/>
    <w:rsid w:val="00B40D5B"/>
    <w:rsid w:val="00B4340D"/>
    <w:rsid w:val="00B43703"/>
    <w:rsid w:val="00B438B0"/>
    <w:rsid w:val="00B43AA5"/>
    <w:rsid w:val="00B441EB"/>
    <w:rsid w:val="00B44B83"/>
    <w:rsid w:val="00B44E38"/>
    <w:rsid w:val="00B4758C"/>
    <w:rsid w:val="00B51DAD"/>
    <w:rsid w:val="00B52516"/>
    <w:rsid w:val="00B53E4B"/>
    <w:rsid w:val="00B609CE"/>
    <w:rsid w:val="00B60C4B"/>
    <w:rsid w:val="00B62748"/>
    <w:rsid w:val="00B64A55"/>
    <w:rsid w:val="00B658C0"/>
    <w:rsid w:val="00B6757C"/>
    <w:rsid w:val="00B70AD6"/>
    <w:rsid w:val="00B80EDE"/>
    <w:rsid w:val="00B80EF3"/>
    <w:rsid w:val="00B81C47"/>
    <w:rsid w:val="00B81E55"/>
    <w:rsid w:val="00B8472C"/>
    <w:rsid w:val="00B85652"/>
    <w:rsid w:val="00B8584E"/>
    <w:rsid w:val="00B878F3"/>
    <w:rsid w:val="00B91E23"/>
    <w:rsid w:val="00B92BE2"/>
    <w:rsid w:val="00BA0223"/>
    <w:rsid w:val="00BA0D87"/>
    <w:rsid w:val="00BA3056"/>
    <w:rsid w:val="00BB02C7"/>
    <w:rsid w:val="00BB5A47"/>
    <w:rsid w:val="00BB7F6D"/>
    <w:rsid w:val="00BC1B9F"/>
    <w:rsid w:val="00BC1C77"/>
    <w:rsid w:val="00BC1E69"/>
    <w:rsid w:val="00BC3D2D"/>
    <w:rsid w:val="00BD01A4"/>
    <w:rsid w:val="00BD136C"/>
    <w:rsid w:val="00BD19A1"/>
    <w:rsid w:val="00BD66D4"/>
    <w:rsid w:val="00BE416D"/>
    <w:rsid w:val="00BE488D"/>
    <w:rsid w:val="00BE56BB"/>
    <w:rsid w:val="00BE5E23"/>
    <w:rsid w:val="00BE7F5F"/>
    <w:rsid w:val="00BF2F29"/>
    <w:rsid w:val="00BF462A"/>
    <w:rsid w:val="00BF5A57"/>
    <w:rsid w:val="00BF7FDA"/>
    <w:rsid w:val="00C01A60"/>
    <w:rsid w:val="00C02D9F"/>
    <w:rsid w:val="00C02E87"/>
    <w:rsid w:val="00C033A7"/>
    <w:rsid w:val="00C0490B"/>
    <w:rsid w:val="00C04B3B"/>
    <w:rsid w:val="00C10555"/>
    <w:rsid w:val="00C10EC9"/>
    <w:rsid w:val="00C14AE4"/>
    <w:rsid w:val="00C153D1"/>
    <w:rsid w:val="00C20D98"/>
    <w:rsid w:val="00C2140B"/>
    <w:rsid w:val="00C233F9"/>
    <w:rsid w:val="00C24724"/>
    <w:rsid w:val="00C32604"/>
    <w:rsid w:val="00C34320"/>
    <w:rsid w:val="00C451C3"/>
    <w:rsid w:val="00C457BE"/>
    <w:rsid w:val="00C46C1C"/>
    <w:rsid w:val="00C51F9A"/>
    <w:rsid w:val="00C63CCB"/>
    <w:rsid w:val="00C6410E"/>
    <w:rsid w:val="00C658F5"/>
    <w:rsid w:val="00C727D7"/>
    <w:rsid w:val="00C73441"/>
    <w:rsid w:val="00C7703B"/>
    <w:rsid w:val="00C807F6"/>
    <w:rsid w:val="00C80B9F"/>
    <w:rsid w:val="00C8107C"/>
    <w:rsid w:val="00C87151"/>
    <w:rsid w:val="00C902B1"/>
    <w:rsid w:val="00C9185B"/>
    <w:rsid w:val="00C920EA"/>
    <w:rsid w:val="00C92919"/>
    <w:rsid w:val="00C960B2"/>
    <w:rsid w:val="00CA131B"/>
    <w:rsid w:val="00CA17CE"/>
    <w:rsid w:val="00CA1BC9"/>
    <w:rsid w:val="00CA32B7"/>
    <w:rsid w:val="00CA38B8"/>
    <w:rsid w:val="00CA4562"/>
    <w:rsid w:val="00CA4763"/>
    <w:rsid w:val="00CA5D01"/>
    <w:rsid w:val="00CA69C0"/>
    <w:rsid w:val="00CA78A7"/>
    <w:rsid w:val="00CB01BA"/>
    <w:rsid w:val="00CB0501"/>
    <w:rsid w:val="00CB0D20"/>
    <w:rsid w:val="00CB3CCB"/>
    <w:rsid w:val="00CB3FC5"/>
    <w:rsid w:val="00CB60A5"/>
    <w:rsid w:val="00CB72D9"/>
    <w:rsid w:val="00CC136C"/>
    <w:rsid w:val="00CC1BEE"/>
    <w:rsid w:val="00CC3F8C"/>
    <w:rsid w:val="00CC6C46"/>
    <w:rsid w:val="00CC7BF5"/>
    <w:rsid w:val="00CD36C9"/>
    <w:rsid w:val="00CD36CC"/>
    <w:rsid w:val="00CD5BD9"/>
    <w:rsid w:val="00CD6167"/>
    <w:rsid w:val="00CE05C4"/>
    <w:rsid w:val="00CE257C"/>
    <w:rsid w:val="00CE2E46"/>
    <w:rsid w:val="00CE3A7F"/>
    <w:rsid w:val="00CF1C86"/>
    <w:rsid w:val="00CF3ADB"/>
    <w:rsid w:val="00D02693"/>
    <w:rsid w:val="00D03419"/>
    <w:rsid w:val="00D03699"/>
    <w:rsid w:val="00D07B2B"/>
    <w:rsid w:val="00D10DE8"/>
    <w:rsid w:val="00D11927"/>
    <w:rsid w:val="00D136FD"/>
    <w:rsid w:val="00D16E47"/>
    <w:rsid w:val="00D20F27"/>
    <w:rsid w:val="00D215DF"/>
    <w:rsid w:val="00D22D53"/>
    <w:rsid w:val="00D23CF7"/>
    <w:rsid w:val="00D24D00"/>
    <w:rsid w:val="00D302AA"/>
    <w:rsid w:val="00D32193"/>
    <w:rsid w:val="00D3432C"/>
    <w:rsid w:val="00D373F5"/>
    <w:rsid w:val="00D374EC"/>
    <w:rsid w:val="00D43393"/>
    <w:rsid w:val="00D43730"/>
    <w:rsid w:val="00D44886"/>
    <w:rsid w:val="00D44E3C"/>
    <w:rsid w:val="00D45512"/>
    <w:rsid w:val="00D45E48"/>
    <w:rsid w:val="00D50D77"/>
    <w:rsid w:val="00D51AD7"/>
    <w:rsid w:val="00D52148"/>
    <w:rsid w:val="00D52B44"/>
    <w:rsid w:val="00D541B5"/>
    <w:rsid w:val="00D54602"/>
    <w:rsid w:val="00D626D6"/>
    <w:rsid w:val="00D63500"/>
    <w:rsid w:val="00D63629"/>
    <w:rsid w:val="00D63DDF"/>
    <w:rsid w:val="00D63DE0"/>
    <w:rsid w:val="00D643FF"/>
    <w:rsid w:val="00D649A9"/>
    <w:rsid w:val="00D65316"/>
    <w:rsid w:val="00D65C47"/>
    <w:rsid w:val="00D66B1D"/>
    <w:rsid w:val="00D71AD2"/>
    <w:rsid w:val="00D74FC1"/>
    <w:rsid w:val="00D7560E"/>
    <w:rsid w:val="00D75A12"/>
    <w:rsid w:val="00D82399"/>
    <w:rsid w:val="00D8380D"/>
    <w:rsid w:val="00D84761"/>
    <w:rsid w:val="00D85E66"/>
    <w:rsid w:val="00D92903"/>
    <w:rsid w:val="00D97F4A"/>
    <w:rsid w:val="00DA2678"/>
    <w:rsid w:val="00DA356F"/>
    <w:rsid w:val="00DA3EC0"/>
    <w:rsid w:val="00DB3707"/>
    <w:rsid w:val="00DB3A22"/>
    <w:rsid w:val="00DB3D3F"/>
    <w:rsid w:val="00DC174C"/>
    <w:rsid w:val="00DC238F"/>
    <w:rsid w:val="00DC37E7"/>
    <w:rsid w:val="00DC3C97"/>
    <w:rsid w:val="00DC5884"/>
    <w:rsid w:val="00DC5F70"/>
    <w:rsid w:val="00DC713A"/>
    <w:rsid w:val="00DC7162"/>
    <w:rsid w:val="00DD196F"/>
    <w:rsid w:val="00DD1D1D"/>
    <w:rsid w:val="00DD2A45"/>
    <w:rsid w:val="00DD501E"/>
    <w:rsid w:val="00DE05B7"/>
    <w:rsid w:val="00DE2460"/>
    <w:rsid w:val="00DE5263"/>
    <w:rsid w:val="00DE7259"/>
    <w:rsid w:val="00DF02A8"/>
    <w:rsid w:val="00DF1E8A"/>
    <w:rsid w:val="00DF5621"/>
    <w:rsid w:val="00DF5B5C"/>
    <w:rsid w:val="00DF67B1"/>
    <w:rsid w:val="00E01F53"/>
    <w:rsid w:val="00E03906"/>
    <w:rsid w:val="00E064E3"/>
    <w:rsid w:val="00E109A6"/>
    <w:rsid w:val="00E10D68"/>
    <w:rsid w:val="00E11A38"/>
    <w:rsid w:val="00E1351B"/>
    <w:rsid w:val="00E13AD4"/>
    <w:rsid w:val="00E1744C"/>
    <w:rsid w:val="00E2132D"/>
    <w:rsid w:val="00E26D5F"/>
    <w:rsid w:val="00E31E05"/>
    <w:rsid w:val="00E31E60"/>
    <w:rsid w:val="00E342D7"/>
    <w:rsid w:val="00E4494D"/>
    <w:rsid w:val="00E47BAB"/>
    <w:rsid w:val="00E5071B"/>
    <w:rsid w:val="00E509DE"/>
    <w:rsid w:val="00E53D3C"/>
    <w:rsid w:val="00E54861"/>
    <w:rsid w:val="00E6400E"/>
    <w:rsid w:val="00E648AB"/>
    <w:rsid w:val="00E65538"/>
    <w:rsid w:val="00E70235"/>
    <w:rsid w:val="00E71CA8"/>
    <w:rsid w:val="00E74747"/>
    <w:rsid w:val="00E75DB1"/>
    <w:rsid w:val="00E819E2"/>
    <w:rsid w:val="00E83FF5"/>
    <w:rsid w:val="00E875DB"/>
    <w:rsid w:val="00E87D99"/>
    <w:rsid w:val="00E924FD"/>
    <w:rsid w:val="00E93468"/>
    <w:rsid w:val="00E93DFC"/>
    <w:rsid w:val="00E94C8B"/>
    <w:rsid w:val="00E9688A"/>
    <w:rsid w:val="00EA4454"/>
    <w:rsid w:val="00EA53B6"/>
    <w:rsid w:val="00EA6054"/>
    <w:rsid w:val="00EA738F"/>
    <w:rsid w:val="00EB0B07"/>
    <w:rsid w:val="00EB34D8"/>
    <w:rsid w:val="00EB5002"/>
    <w:rsid w:val="00EB54C1"/>
    <w:rsid w:val="00EB5D9C"/>
    <w:rsid w:val="00EB63C6"/>
    <w:rsid w:val="00EB6D19"/>
    <w:rsid w:val="00EB7077"/>
    <w:rsid w:val="00EB7363"/>
    <w:rsid w:val="00EC1197"/>
    <w:rsid w:val="00EC3FAC"/>
    <w:rsid w:val="00EC4EE2"/>
    <w:rsid w:val="00EC63CA"/>
    <w:rsid w:val="00EC7938"/>
    <w:rsid w:val="00ED18D0"/>
    <w:rsid w:val="00ED2F27"/>
    <w:rsid w:val="00ED37BB"/>
    <w:rsid w:val="00ED6135"/>
    <w:rsid w:val="00ED6F2A"/>
    <w:rsid w:val="00ED7B55"/>
    <w:rsid w:val="00EE132D"/>
    <w:rsid w:val="00EE3002"/>
    <w:rsid w:val="00EE6DAB"/>
    <w:rsid w:val="00EF235E"/>
    <w:rsid w:val="00EF4829"/>
    <w:rsid w:val="00EF5F0F"/>
    <w:rsid w:val="00F0144F"/>
    <w:rsid w:val="00F0341D"/>
    <w:rsid w:val="00F05919"/>
    <w:rsid w:val="00F05F41"/>
    <w:rsid w:val="00F06FDE"/>
    <w:rsid w:val="00F10B0E"/>
    <w:rsid w:val="00F12F98"/>
    <w:rsid w:val="00F13257"/>
    <w:rsid w:val="00F14FD9"/>
    <w:rsid w:val="00F16A1C"/>
    <w:rsid w:val="00F201D4"/>
    <w:rsid w:val="00F20571"/>
    <w:rsid w:val="00F205AF"/>
    <w:rsid w:val="00F2372E"/>
    <w:rsid w:val="00F24773"/>
    <w:rsid w:val="00F32717"/>
    <w:rsid w:val="00F33331"/>
    <w:rsid w:val="00F33601"/>
    <w:rsid w:val="00F340D7"/>
    <w:rsid w:val="00F3529C"/>
    <w:rsid w:val="00F35409"/>
    <w:rsid w:val="00F35FDD"/>
    <w:rsid w:val="00F406A3"/>
    <w:rsid w:val="00F40D15"/>
    <w:rsid w:val="00F41616"/>
    <w:rsid w:val="00F44A33"/>
    <w:rsid w:val="00F44AF0"/>
    <w:rsid w:val="00F44C90"/>
    <w:rsid w:val="00F455E9"/>
    <w:rsid w:val="00F45AA6"/>
    <w:rsid w:val="00F4690E"/>
    <w:rsid w:val="00F5178A"/>
    <w:rsid w:val="00F533C4"/>
    <w:rsid w:val="00F608F2"/>
    <w:rsid w:val="00F61609"/>
    <w:rsid w:val="00F7000B"/>
    <w:rsid w:val="00F71041"/>
    <w:rsid w:val="00F7379B"/>
    <w:rsid w:val="00F73D98"/>
    <w:rsid w:val="00F8196A"/>
    <w:rsid w:val="00F81F04"/>
    <w:rsid w:val="00F82BE1"/>
    <w:rsid w:val="00F82DAD"/>
    <w:rsid w:val="00F86CAF"/>
    <w:rsid w:val="00F86F61"/>
    <w:rsid w:val="00F9227B"/>
    <w:rsid w:val="00F93EB2"/>
    <w:rsid w:val="00F97A0C"/>
    <w:rsid w:val="00FA271F"/>
    <w:rsid w:val="00FA2EF1"/>
    <w:rsid w:val="00FA2F98"/>
    <w:rsid w:val="00FA74FA"/>
    <w:rsid w:val="00FA798F"/>
    <w:rsid w:val="00FB1231"/>
    <w:rsid w:val="00FB3ABC"/>
    <w:rsid w:val="00FB53A9"/>
    <w:rsid w:val="00FB6524"/>
    <w:rsid w:val="00FC399E"/>
    <w:rsid w:val="00FC5C91"/>
    <w:rsid w:val="00FC71C3"/>
    <w:rsid w:val="00FD080C"/>
    <w:rsid w:val="00FD21FC"/>
    <w:rsid w:val="00FD517D"/>
    <w:rsid w:val="00FD6412"/>
    <w:rsid w:val="00FD7260"/>
    <w:rsid w:val="00FE14F3"/>
    <w:rsid w:val="00FE23F0"/>
    <w:rsid w:val="00FE4148"/>
    <w:rsid w:val="00FE4475"/>
    <w:rsid w:val="00FE4E20"/>
    <w:rsid w:val="00FE5C02"/>
    <w:rsid w:val="00FE6136"/>
    <w:rsid w:val="00FF1247"/>
    <w:rsid w:val="00FF2213"/>
    <w:rsid w:val="00FF2856"/>
    <w:rsid w:val="00FF3CB2"/>
    <w:rsid w:val="00FF515D"/>
    <w:rsid w:val="00FF58AB"/>
    <w:rsid w:val="00FF6166"/>
    <w:rsid w:val="011B7968"/>
    <w:rsid w:val="024C4D45"/>
    <w:rsid w:val="0494685C"/>
    <w:rsid w:val="06240547"/>
    <w:rsid w:val="06F64931"/>
    <w:rsid w:val="0B39120D"/>
    <w:rsid w:val="0B457DBD"/>
    <w:rsid w:val="0E8D0A8E"/>
    <w:rsid w:val="10445188"/>
    <w:rsid w:val="16EE36DD"/>
    <w:rsid w:val="187C3A03"/>
    <w:rsid w:val="1A0A7A5A"/>
    <w:rsid w:val="1A1062BC"/>
    <w:rsid w:val="1BBC175D"/>
    <w:rsid w:val="1CCA47DA"/>
    <w:rsid w:val="27D567C7"/>
    <w:rsid w:val="29CA711E"/>
    <w:rsid w:val="2D8A19A0"/>
    <w:rsid w:val="38CE5565"/>
    <w:rsid w:val="39DC317B"/>
    <w:rsid w:val="3D172122"/>
    <w:rsid w:val="42121235"/>
    <w:rsid w:val="42644AE2"/>
    <w:rsid w:val="43806299"/>
    <w:rsid w:val="47646592"/>
    <w:rsid w:val="476E56E7"/>
    <w:rsid w:val="4791651B"/>
    <w:rsid w:val="4A554F3D"/>
    <w:rsid w:val="4FC85C23"/>
    <w:rsid w:val="51EF1FE1"/>
    <w:rsid w:val="52A314F6"/>
    <w:rsid w:val="52C517CA"/>
    <w:rsid w:val="52D84B42"/>
    <w:rsid w:val="543E37BE"/>
    <w:rsid w:val="5716491B"/>
    <w:rsid w:val="5DE859C7"/>
    <w:rsid w:val="642767B7"/>
    <w:rsid w:val="65565F4A"/>
    <w:rsid w:val="66AD6379"/>
    <w:rsid w:val="675D091F"/>
    <w:rsid w:val="6A324382"/>
    <w:rsid w:val="6E874064"/>
    <w:rsid w:val="72C87D55"/>
    <w:rsid w:val="757F1AAD"/>
    <w:rsid w:val="76040EC2"/>
    <w:rsid w:val="771A1494"/>
    <w:rsid w:val="776337CD"/>
    <w:rsid w:val="7805736C"/>
    <w:rsid w:val="79582D75"/>
    <w:rsid w:val="79976731"/>
    <w:rsid w:val="7AE418B2"/>
    <w:rsid w:val="7BE11E91"/>
    <w:rsid w:val="7C1A6608"/>
    <w:rsid w:val="7E4F7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numPr>
        <w:ilvl w:val="0"/>
        <w:numId w:val="1"/>
      </w:numPr>
      <w:tabs>
        <w:tab w:val="left" w:pos="567"/>
      </w:tabs>
      <w:adjustRightInd w:val="0"/>
      <w:snapToGrid w:val="0"/>
      <w:spacing w:before="100" w:beforeAutospacing="1" w:after="100" w:afterAutospacing="1"/>
      <w:jc w:val="left"/>
      <w:outlineLvl w:val="0"/>
    </w:pPr>
    <w:rPr>
      <w:b/>
      <w:bCs/>
      <w:kern w:val="44"/>
      <w:szCs w:val="44"/>
    </w:rPr>
  </w:style>
  <w:style w:type="paragraph" w:styleId="3">
    <w:name w:val="heading 2"/>
    <w:basedOn w:val="1"/>
    <w:next w:val="1"/>
    <w:qFormat/>
    <w:uiPriority w:val="0"/>
    <w:pPr>
      <w:keepNext/>
      <w:keepLines/>
      <w:numPr>
        <w:ilvl w:val="1"/>
        <w:numId w:val="1"/>
      </w:numPr>
      <w:spacing w:before="260" w:after="260" w:line="413" w:lineRule="auto"/>
      <w:outlineLvl w:val="1"/>
    </w:pPr>
    <w:rPr>
      <w:b/>
    </w:rPr>
  </w:style>
  <w:style w:type="paragraph" w:styleId="4">
    <w:name w:val="heading 6"/>
    <w:basedOn w:val="1"/>
    <w:next w:val="1"/>
    <w:link w:val="37"/>
    <w:qFormat/>
    <w:uiPriority w:val="0"/>
    <w:pPr>
      <w:keepNext/>
      <w:keepLines/>
      <w:spacing w:before="240" w:after="64" w:line="320" w:lineRule="auto"/>
      <w:outlineLvl w:val="5"/>
    </w:pPr>
    <w:rPr>
      <w:rFonts w:ascii="Cambria" w:hAnsi="Cambria"/>
      <w:b/>
      <w:bCs/>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List Bullet"/>
    <w:basedOn w:val="1"/>
    <w:semiHidden/>
    <w:unhideWhenUsed/>
    <w:qFormat/>
    <w:uiPriority w:val="0"/>
    <w:pPr>
      <w:numPr>
        <w:ilvl w:val="0"/>
        <w:numId w:val="2"/>
      </w:numPr>
    </w:pPr>
  </w:style>
  <w:style w:type="paragraph" w:styleId="7">
    <w:name w:val="annotation text"/>
    <w:basedOn w:val="1"/>
    <w:link w:val="34"/>
    <w:qFormat/>
    <w:uiPriority w:val="99"/>
    <w:pPr>
      <w:jc w:val="left"/>
    </w:pPr>
  </w:style>
  <w:style w:type="paragraph" w:styleId="8">
    <w:name w:val="toc 5"/>
    <w:basedOn w:val="1"/>
    <w:next w:val="1"/>
    <w:qFormat/>
    <w:uiPriority w:val="0"/>
    <w:pPr>
      <w:ind w:left="1680" w:leftChars="800"/>
    </w:pPr>
  </w:style>
  <w:style w:type="paragraph" w:styleId="9">
    <w:name w:val="toc 3"/>
    <w:basedOn w:val="1"/>
    <w:next w:val="1"/>
    <w:qFormat/>
    <w:uiPriority w:val="0"/>
    <w:pPr>
      <w:ind w:left="840" w:leftChars="400"/>
    </w:pPr>
  </w:style>
  <w:style w:type="paragraph" w:styleId="10">
    <w:name w:val="Plain Text"/>
    <w:basedOn w:val="1"/>
    <w:link w:val="31"/>
    <w:qFormat/>
    <w:uiPriority w:val="99"/>
    <w:rPr>
      <w:rFonts w:ascii="宋体" w:hAnsi="Courier New"/>
      <w:sz w:val="21"/>
    </w:rPr>
  </w:style>
  <w:style w:type="paragraph" w:styleId="11">
    <w:name w:val="toc 8"/>
    <w:basedOn w:val="1"/>
    <w:next w:val="1"/>
    <w:qFormat/>
    <w:uiPriority w:val="0"/>
    <w:pPr>
      <w:ind w:left="2940" w:leftChars="1400"/>
    </w:pPr>
  </w:style>
  <w:style w:type="paragraph" w:styleId="12">
    <w:name w:val="Balloon Text"/>
    <w:basedOn w:val="1"/>
    <w:link w:val="35"/>
    <w:qFormat/>
    <w:uiPriority w:val="0"/>
    <w:rPr>
      <w:sz w:val="18"/>
      <w:szCs w:val="18"/>
    </w:rPr>
  </w:style>
  <w:style w:type="paragraph" w:styleId="13">
    <w:name w:val="footer"/>
    <w:basedOn w:val="1"/>
    <w:qFormat/>
    <w:uiPriority w:val="0"/>
    <w:pPr>
      <w:tabs>
        <w:tab w:val="center" w:pos="4153"/>
        <w:tab w:val="right" w:pos="8306"/>
      </w:tabs>
      <w:snapToGrid w:val="0"/>
    </w:pPr>
    <w:rPr>
      <w:sz w:val="18"/>
      <w:szCs w:val="18"/>
    </w:rPr>
  </w:style>
  <w:style w:type="paragraph" w:styleId="14">
    <w:name w:val="header"/>
    <w:basedOn w:val="1"/>
    <w:link w:val="64"/>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toc 4"/>
    <w:basedOn w:val="1"/>
    <w:next w:val="1"/>
    <w:qFormat/>
    <w:uiPriority w:val="0"/>
    <w:pPr>
      <w:ind w:left="1260" w:leftChars="600"/>
    </w:pPr>
  </w:style>
  <w:style w:type="paragraph" w:styleId="17">
    <w:name w:val="toc 6"/>
    <w:basedOn w:val="1"/>
    <w:next w:val="1"/>
    <w:qFormat/>
    <w:uiPriority w:val="0"/>
    <w:pPr>
      <w:ind w:left="2100" w:leftChars="1000"/>
    </w:pPr>
  </w:style>
  <w:style w:type="paragraph" w:styleId="18">
    <w:name w:val="Body Text Indent 3"/>
    <w:basedOn w:val="1"/>
    <w:qFormat/>
    <w:uiPriority w:val="0"/>
    <w:pPr>
      <w:spacing w:line="520" w:lineRule="exact"/>
      <w:ind w:left="735"/>
    </w:pPr>
  </w:style>
  <w:style w:type="paragraph" w:styleId="19">
    <w:name w:val="toc 2"/>
    <w:basedOn w:val="1"/>
    <w:next w:val="1"/>
    <w:qFormat/>
    <w:uiPriority w:val="39"/>
    <w:pPr>
      <w:ind w:left="420" w:leftChars="200"/>
    </w:pPr>
  </w:style>
  <w:style w:type="paragraph" w:styleId="20">
    <w:name w:val="toc 9"/>
    <w:basedOn w:val="1"/>
    <w:next w:val="1"/>
    <w:qFormat/>
    <w:uiPriority w:val="0"/>
    <w:pPr>
      <w:ind w:left="3360" w:leftChars="1600"/>
    </w:pPr>
  </w:style>
  <w:style w:type="paragraph" w:styleId="21">
    <w:name w:val="Normal (Web)"/>
    <w:basedOn w:val="1"/>
    <w:qFormat/>
    <w:uiPriority w:val="99"/>
    <w:pPr>
      <w:spacing w:before="100" w:beforeAutospacing="1" w:after="100" w:afterAutospacing="1"/>
    </w:pPr>
    <w:rPr>
      <w:rFonts w:ascii="宋体" w:hAnsi="宋体" w:cs="宋体"/>
    </w:rPr>
  </w:style>
  <w:style w:type="paragraph" w:styleId="22">
    <w:name w:val="Title"/>
    <w:basedOn w:val="1"/>
    <w:next w:val="1"/>
    <w:link w:val="63"/>
    <w:qFormat/>
    <w:uiPriority w:val="0"/>
    <w:pPr>
      <w:spacing w:before="240" w:after="60"/>
      <w:jc w:val="center"/>
      <w:outlineLvl w:val="0"/>
    </w:pPr>
    <w:rPr>
      <w:rFonts w:ascii="Cambria" w:hAnsi="Cambria"/>
      <w:b/>
      <w:bCs/>
      <w:sz w:val="32"/>
      <w:szCs w:val="32"/>
    </w:rPr>
  </w:style>
  <w:style w:type="paragraph" w:styleId="23">
    <w:name w:val="annotation subject"/>
    <w:basedOn w:val="7"/>
    <w:next w:val="7"/>
    <w:link w:val="33"/>
    <w:qFormat/>
    <w:uiPriority w:val="0"/>
    <w:rPr>
      <w:b/>
      <w:bCs/>
    </w:rPr>
  </w:style>
  <w:style w:type="table" w:styleId="25">
    <w:name w:val="Table Grid"/>
    <w:basedOn w:val="2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Emphasis"/>
    <w:qFormat/>
    <w:uiPriority w:val="0"/>
    <w:rPr>
      <w:i/>
      <w:iCs/>
    </w:rPr>
  </w:style>
  <w:style w:type="character" w:styleId="29">
    <w:name w:val="Hyperlink"/>
    <w:unhideWhenUsed/>
    <w:qFormat/>
    <w:uiPriority w:val="99"/>
    <w:rPr>
      <w:color w:val="0000FF"/>
      <w:u w:val="single"/>
    </w:rPr>
  </w:style>
  <w:style w:type="character" w:styleId="30">
    <w:name w:val="annotation reference"/>
    <w:qFormat/>
    <w:uiPriority w:val="99"/>
    <w:rPr>
      <w:sz w:val="21"/>
      <w:szCs w:val="21"/>
    </w:rPr>
  </w:style>
  <w:style w:type="character" w:customStyle="1" w:styleId="31">
    <w:name w:val="纯文本 字符"/>
    <w:link w:val="10"/>
    <w:qFormat/>
    <w:locked/>
    <w:uiPriority w:val="99"/>
    <w:rPr>
      <w:rFonts w:ascii="宋体" w:hAnsi="Courier New" w:eastAsia="宋体"/>
      <w:kern w:val="2"/>
      <w:sz w:val="21"/>
      <w:lang w:val="en-US" w:eastAsia="zh-CN" w:bidi="ar-SA"/>
    </w:rPr>
  </w:style>
  <w:style w:type="character" w:customStyle="1" w:styleId="32">
    <w:name w:val="页码1"/>
    <w:basedOn w:val="26"/>
    <w:qFormat/>
    <w:uiPriority w:val="0"/>
  </w:style>
  <w:style w:type="character" w:customStyle="1" w:styleId="33">
    <w:name w:val="批注主题 字符"/>
    <w:basedOn w:val="34"/>
    <w:link w:val="23"/>
    <w:qFormat/>
    <w:uiPriority w:val="0"/>
    <w:rPr>
      <w:kern w:val="2"/>
      <w:sz w:val="24"/>
    </w:rPr>
  </w:style>
  <w:style w:type="character" w:customStyle="1" w:styleId="34">
    <w:name w:val="批注文字 字符"/>
    <w:link w:val="7"/>
    <w:qFormat/>
    <w:uiPriority w:val="99"/>
  </w:style>
  <w:style w:type="character" w:customStyle="1" w:styleId="35">
    <w:name w:val="批注框文本 字符"/>
    <w:link w:val="12"/>
    <w:qFormat/>
    <w:uiPriority w:val="0"/>
    <w:rPr>
      <w:kern w:val="2"/>
      <w:sz w:val="18"/>
      <w:szCs w:val="18"/>
    </w:rPr>
  </w:style>
  <w:style w:type="character" w:customStyle="1" w:styleId="36">
    <w:name w:val="页码11"/>
    <w:basedOn w:val="26"/>
    <w:qFormat/>
    <w:uiPriority w:val="0"/>
  </w:style>
  <w:style w:type="character" w:customStyle="1" w:styleId="37">
    <w:name w:val="标题 6 字符"/>
    <w:link w:val="4"/>
    <w:qFormat/>
    <w:uiPriority w:val="0"/>
    <w:rPr>
      <w:rFonts w:ascii="Cambria" w:hAnsi="Cambria" w:eastAsia="宋体" w:cs="Times New Roman"/>
      <w:b/>
      <w:bCs/>
      <w:kern w:val="2"/>
      <w:sz w:val="24"/>
      <w:szCs w:val="24"/>
    </w:rPr>
  </w:style>
  <w:style w:type="character" w:customStyle="1" w:styleId="38">
    <w:name w:val="已访问的超链接1"/>
    <w:qFormat/>
    <w:uiPriority w:val="0"/>
    <w:rPr>
      <w:color w:val="800080"/>
      <w:u w:val="single"/>
    </w:rPr>
  </w:style>
  <w:style w:type="character" w:customStyle="1" w:styleId="39">
    <w:name w:val="样式 Heading 0 + (符号) 宋体 小四 非加粗 Char Char"/>
    <w:link w:val="40"/>
    <w:qFormat/>
    <w:uiPriority w:val="0"/>
    <w:rPr>
      <w:rFonts w:ascii="Arial" w:hAnsi="Arial" w:eastAsia="宋体"/>
      <w:b/>
      <w:sz w:val="24"/>
      <w:lang w:eastAsia="en-US"/>
    </w:rPr>
  </w:style>
  <w:style w:type="paragraph" w:customStyle="1" w:styleId="40">
    <w:name w:val="样式 Heading 0 + (符号) 宋体 小四 非加粗"/>
    <w:basedOn w:val="41"/>
    <w:link w:val="39"/>
    <w:qFormat/>
    <w:uiPriority w:val="0"/>
    <w:pPr>
      <w:tabs>
        <w:tab w:val="left" w:pos="-2835"/>
        <w:tab w:val="left" w:pos="284"/>
      </w:tabs>
    </w:pPr>
    <w:rPr>
      <w:bCs w:val="0"/>
      <w:kern w:val="0"/>
      <w:sz w:val="24"/>
      <w:szCs w:val="20"/>
    </w:rPr>
  </w:style>
  <w:style w:type="paragraph" w:customStyle="1" w:styleId="41">
    <w:name w:val="Heading 0"/>
    <w:basedOn w:val="42"/>
    <w:qFormat/>
    <w:uiPriority w:val="0"/>
    <w:pPr>
      <w:widowControl/>
      <w:tabs>
        <w:tab w:val="left" w:pos="-2835"/>
        <w:tab w:val="left" w:pos="284"/>
      </w:tabs>
      <w:spacing w:before="360" w:after="0" w:line="240" w:lineRule="auto"/>
      <w:ind w:left="340" w:hanging="340"/>
      <w:jc w:val="left"/>
    </w:pPr>
    <w:rPr>
      <w:rFonts w:ascii="Arial" w:hAnsi="Arial"/>
      <w:sz w:val="28"/>
      <w:lang w:eastAsia="en-US"/>
    </w:rPr>
  </w:style>
  <w:style w:type="paragraph" w:customStyle="1" w:styleId="42">
    <w:name w:val="标题 1 New"/>
    <w:basedOn w:val="43"/>
    <w:next w:val="43"/>
    <w:qFormat/>
    <w:uiPriority w:val="0"/>
    <w:pPr>
      <w:keepNext/>
      <w:keepLines/>
      <w:spacing w:before="340" w:after="330" w:line="578" w:lineRule="auto"/>
      <w:outlineLvl w:val="0"/>
    </w:pPr>
    <w:rPr>
      <w:b/>
      <w:bCs/>
      <w:kern w:val="44"/>
      <w:sz w:val="44"/>
      <w:szCs w:val="44"/>
    </w:rPr>
  </w:style>
  <w:style w:type="paragraph" w:customStyle="1" w:styleId="43">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页眉 New New"/>
    <w:basedOn w:val="43"/>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修订1"/>
    <w:semiHidden/>
    <w:qFormat/>
    <w:uiPriority w:val="99"/>
    <w:rPr>
      <w:rFonts w:ascii="Times New Roman" w:hAnsi="Times New Roman" w:eastAsia="宋体" w:cs="Times New Roman"/>
      <w:kern w:val="2"/>
      <w:sz w:val="24"/>
      <w:szCs w:val="24"/>
      <w:lang w:val="en-US" w:eastAsia="zh-CN" w:bidi="ar-SA"/>
    </w:rPr>
  </w:style>
  <w:style w:type="paragraph" w:customStyle="1" w:styleId="47">
    <w:name w:val="列出段落1"/>
    <w:basedOn w:val="1"/>
    <w:qFormat/>
    <w:uiPriority w:val="0"/>
    <w:pPr>
      <w:widowControl/>
      <w:ind w:firstLine="420" w:firstLineChars="200"/>
      <w:jc w:val="left"/>
    </w:pPr>
    <w:rPr>
      <w:kern w:val="0"/>
      <w:sz w:val="28"/>
      <w:szCs w:val="28"/>
    </w:rPr>
  </w:style>
  <w:style w:type="paragraph" w:customStyle="1" w:styleId="48">
    <w:name w:val="页脚 New New"/>
    <w:basedOn w:val="43"/>
    <w:qFormat/>
    <w:uiPriority w:val="0"/>
    <w:pPr>
      <w:tabs>
        <w:tab w:val="center" w:pos="4153"/>
        <w:tab w:val="right" w:pos="8306"/>
      </w:tabs>
      <w:snapToGrid w:val="0"/>
      <w:jc w:val="left"/>
    </w:pPr>
    <w:rPr>
      <w:sz w:val="18"/>
      <w:szCs w:val="18"/>
    </w:rPr>
  </w:style>
  <w:style w:type="paragraph" w:customStyle="1" w:styleId="49">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页眉 New"/>
    <w:basedOn w:val="49"/>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Default"/>
    <w:qFormat/>
    <w:uiPriority w:val="0"/>
    <w:pPr>
      <w:widowControl w:val="0"/>
      <w:autoSpaceDE w:val="0"/>
      <w:autoSpaceDN w:val="0"/>
      <w:adjustRightInd w:val="0"/>
    </w:pPr>
    <w:rPr>
      <w:rFonts w:ascii="Arial Unicode MS" w:hAnsi="Times New Roman" w:eastAsia="Arial Unicode MS" w:cs="Arial Unicode MS"/>
      <w:color w:val="000000"/>
      <w:kern w:val="2"/>
      <w:sz w:val="24"/>
      <w:szCs w:val="24"/>
      <w:lang w:val="en-US" w:eastAsia="zh-CN" w:bidi="ar-SA"/>
    </w:rPr>
  </w:style>
  <w:style w:type="paragraph" w:customStyle="1" w:styleId="52">
    <w:name w:val="Char1 Char Char Char Char Char Char"/>
    <w:basedOn w:val="1"/>
    <w:qFormat/>
    <w:uiPriority w:val="0"/>
  </w:style>
  <w:style w:type="paragraph" w:customStyle="1" w:styleId="53">
    <w:name w:val="纯文本1"/>
    <w:basedOn w:val="43"/>
    <w:qFormat/>
    <w:uiPriority w:val="0"/>
    <w:rPr>
      <w:rFonts w:ascii="宋体" w:hAnsi="Courier New"/>
      <w:szCs w:val="20"/>
    </w:rPr>
  </w:style>
  <w:style w:type="paragraph" w:customStyle="1" w:styleId="54">
    <w:name w:val="纯文本11"/>
    <w:basedOn w:val="43"/>
    <w:qFormat/>
    <w:uiPriority w:val="0"/>
    <w:rPr>
      <w:rFonts w:ascii="宋体" w:hAnsi="Courier New"/>
    </w:rPr>
  </w:style>
  <w:style w:type="paragraph" w:customStyle="1" w:styleId="55">
    <w:name w:val="TOC 标题1"/>
    <w:basedOn w:val="2"/>
    <w:next w:val="1"/>
    <w:qFormat/>
    <w:uiPriority w:val="39"/>
    <w:pPr>
      <w:widowControl/>
      <w:adjustRightInd/>
      <w:snapToGrid/>
      <w:spacing w:before="480" w:after="0" w:line="276" w:lineRule="auto"/>
      <w:outlineLvl w:val="9"/>
    </w:pPr>
    <w:rPr>
      <w:rFonts w:ascii="Cambria" w:hAnsi="Cambria"/>
      <w:color w:val="365F91"/>
      <w:kern w:val="0"/>
      <w:sz w:val="28"/>
      <w:szCs w:val="28"/>
    </w:rPr>
  </w:style>
  <w:style w:type="paragraph" w:customStyle="1" w:styleId="56">
    <w:name w:val="正文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正文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Table text"/>
    <w:basedOn w:val="43"/>
    <w:qFormat/>
    <w:uiPriority w:val="0"/>
    <w:pPr>
      <w:widowControl/>
      <w:spacing w:before="120" w:after="120"/>
    </w:pPr>
    <w:rPr>
      <w:kern w:val="0"/>
      <w:sz w:val="24"/>
      <w:lang w:eastAsia="en-US"/>
    </w:rPr>
  </w:style>
  <w:style w:type="paragraph" w:customStyle="1" w:styleId="59">
    <w:name w:val="正文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
    <w:name w:val="页脚 New"/>
    <w:basedOn w:val="49"/>
    <w:qFormat/>
    <w:uiPriority w:val="0"/>
    <w:pPr>
      <w:tabs>
        <w:tab w:val="center" w:pos="4153"/>
        <w:tab w:val="right" w:pos="8306"/>
      </w:tabs>
      <w:snapToGrid w:val="0"/>
      <w:jc w:val="left"/>
    </w:pPr>
    <w:rPr>
      <w:sz w:val="18"/>
      <w:szCs w:val="18"/>
    </w:rPr>
  </w:style>
  <w:style w:type="paragraph" w:customStyle="1" w:styleId="61">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2">
    <w:name w:val="web-item2"/>
    <w:qFormat/>
    <w:uiPriority w:val="0"/>
    <w:rPr>
      <w:sz w:val="18"/>
      <w:szCs w:val="18"/>
    </w:rPr>
  </w:style>
  <w:style w:type="character" w:customStyle="1" w:styleId="63">
    <w:name w:val="标题 字符"/>
    <w:link w:val="22"/>
    <w:qFormat/>
    <w:uiPriority w:val="0"/>
    <w:rPr>
      <w:rFonts w:ascii="Cambria" w:hAnsi="Cambria" w:cs="Times New Roman"/>
      <w:b/>
      <w:bCs/>
      <w:kern w:val="2"/>
      <w:sz w:val="32"/>
      <w:szCs w:val="32"/>
    </w:rPr>
  </w:style>
  <w:style w:type="character" w:customStyle="1" w:styleId="64">
    <w:name w:val="页眉 字符"/>
    <w:link w:val="14"/>
    <w:qFormat/>
    <w:uiPriority w:val="99"/>
    <w:rPr>
      <w:kern w:val="2"/>
      <w:sz w:val="18"/>
      <w:szCs w:val="18"/>
    </w:rPr>
  </w:style>
  <w:style w:type="paragraph" w:customStyle="1" w:styleId="65">
    <w:name w:val="列出段落2"/>
    <w:basedOn w:val="1"/>
    <w:qFormat/>
    <w:uiPriority w:val="99"/>
    <w:pPr>
      <w:widowControl/>
      <w:ind w:firstLine="420" w:firstLineChars="200"/>
      <w:jc w:val="left"/>
    </w:pPr>
    <w:rPr>
      <w:kern w:val="0"/>
      <w:sz w:val="28"/>
      <w:szCs w:val="20"/>
    </w:rPr>
  </w:style>
  <w:style w:type="paragraph" w:styleId="66">
    <w:name w:val="List Paragraph"/>
    <w:basedOn w:val="1"/>
    <w:qFormat/>
    <w:uiPriority w:val="34"/>
    <w:pPr>
      <w:ind w:firstLine="420" w:firstLineChars="200"/>
    </w:pPr>
  </w:style>
  <w:style w:type="paragraph" w:customStyle="1" w:styleId="67">
    <w:name w:val="WPSOffice手动目录 1"/>
    <w:qFormat/>
    <w:uiPriority w:val="0"/>
    <w:rPr>
      <w:rFonts w:ascii="Calibri" w:hAnsi="Calibri" w:eastAsia="宋体" w:cs="Times New Roman"/>
      <w:lang w:val="en-US" w:eastAsia="zh-CN" w:bidi="ar-SA"/>
    </w:rPr>
  </w:style>
  <w:style w:type="paragraph" w:customStyle="1" w:styleId="68">
    <w:name w:val="WPSOffice手动目录 2"/>
    <w:qFormat/>
    <w:uiPriority w:val="0"/>
    <w:pPr>
      <w:ind w:left="200" w:leftChars="200"/>
    </w:pPr>
    <w:rPr>
      <w:rFonts w:ascii="Calibri" w:hAnsi="Calibri" w:eastAsia="宋体" w:cs="Times New Roman"/>
      <w:lang w:val="en-US" w:eastAsia="zh-CN" w:bidi="ar-SA"/>
    </w:rPr>
  </w:style>
  <w:style w:type="paragraph" w:customStyle="1" w:styleId="69">
    <w:name w:val="Heading Left"/>
    <w:basedOn w:val="1"/>
    <w:qFormat/>
    <w:uiPriority w:val="0"/>
    <w:pPr>
      <w:widowControl/>
      <w:tabs>
        <w:tab w:val="center" w:pos="4820"/>
        <w:tab w:val="right" w:pos="9639"/>
      </w:tabs>
      <w:spacing w:before="120" w:after="120"/>
      <w:jc w:val="left"/>
    </w:pPr>
    <w:rPr>
      <w:rFonts w:ascii="Arial" w:hAnsi="Arial"/>
      <w:b/>
      <w:caps/>
      <w:kern w:val="0"/>
      <w:lang w:val="en-GB" w:eastAsia="en-US"/>
    </w:rPr>
  </w:style>
  <w:style w:type="paragraph" w:customStyle="1" w:styleId="70">
    <w:name w:val="Table Text"/>
    <w:basedOn w:val="1"/>
    <w:qFormat/>
    <w:uiPriority w:val="0"/>
    <w:pPr>
      <w:widowControl/>
      <w:spacing w:before="20" w:after="20"/>
      <w:jc w:val="left"/>
    </w:pPr>
    <w:rPr>
      <w:rFonts w:ascii="Arial" w:hAnsi="Arial"/>
      <w:snapToGrid w:val="0"/>
      <w:kern w:val="0"/>
      <w:sz w:val="22"/>
      <w:szCs w:val="20"/>
      <w:lang w:val="en-AU" w:eastAsia="en-US"/>
    </w:rPr>
  </w:style>
  <w:style w:type="paragraph" w:customStyle="1" w:styleId="71">
    <w:name w:val="Text"/>
    <w:basedOn w:val="1"/>
    <w:qFormat/>
    <w:uiPriority w:val="0"/>
    <w:pPr>
      <w:widowControl/>
      <w:spacing w:before="120"/>
    </w:pPr>
    <w:rPr>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4373A3-E155-428D-B3DF-DA6ABE9BDAD1}">
  <ds:schemaRefs/>
</ds:datastoreItem>
</file>

<file path=docProps/app.xml><?xml version="1.0" encoding="utf-8"?>
<Properties xmlns="http://schemas.openxmlformats.org/officeDocument/2006/extended-properties" xmlns:vt="http://schemas.openxmlformats.org/officeDocument/2006/docPropsVTypes">
  <Template>Normal</Template>
  <Pages>15</Pages>
  <Words>1508</Words>
  <Characters>8601</Characters>
  <Lines>71</Lines>
  <Paragraphs>20</Paragraphs>
  <TotalTime>24</TotalTime>
  <ScaleCrop>false</ScaleCrop>
  <LinksUpToDate>false</LinksUpToDate>
  <CharactersWithSpaces>10089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2019-11-13T02:51:00Z</dcterms:created>
  <cp:lastPrinted>2019-05-14T07:09:00Z</cp:lastPrinted>
  <dcterms:modified xsi:type="dcterms:W3CDTF">2020-04-27T08:21:11Z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